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2"/>
        <w:ind w:left="4395" w:firstLine="0"/>
        <w:jc w:val="center"/>
        <w:spacing w:line="276" w:lineRule="auto"/>
        <w:tabs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2"/>
        <w:ind w:left="4395" w:firstLine="0"/>
        <w:jc w:val="center"/>
        <w:spacing w:line="276" w:lineRule="auto"/>
        <w:tabs>
          <w:tab w:val="left" w:pos="141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1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соответствии полномочий, </w:t>
      </w:r>
      <w:r>
        <w:rPr>
          <w:rFonts w:ascii="Times New Roman" w:hAnsi="Times New Roman"/>
          <w:sz w:val="28"/>
          <w:szCs w:val="28"/>
        </w:rPr>
        <w:t xml:space="preserve">назначаемых </w:t>
      </w:r>
      <w:r>
        <w:rPr>
          <w:rFonts w:ascii="Times New Roman" w:hAnsi="Times New Roman"/>
          <w:sz w:val="28"/>
          <w:szCs w:val="28"/>
        </w:rPr>
        <w:t xml:space="preserve">по средствам выдачи машиночитаемой доверенности</w:t>
      </w:r>
      <w:r>
        <w:rPr>
          <w:rFonts w:ascii="Times New Roman" w:hAnsi="Times New Roman"/>
          <w:sz w:val="28"/>
          <w:szCs w:val="28"/>
        </w:rPr>
        <w:t xml:space="preserve"> перечню ролей доступа, настроенных для </w:t>
      </w:r>
      <w:r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 xml:space="preserve">пользователей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компоненте прогнозирования остатка средств на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счетах Федерального казначейства, необходимого для осуществления платежей, </w:t>
      </w:r>
      <w:r>
        <w:rPr>
          <w:rFonts w:ascii="Times New Roman" w:hAnsi="Times New Roman"/>
          <w:sz w:val="28"/>
          <w:szCs w:val="28"/>
        </w:rPr>
        <w:t xml:space="preserve">модул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кассового планирования </w:t>
      </w:r>
      <w:r>
        <w:rPr>
          <w:rFonts w:ascii="Times New Roman" w:hAnsi="Times New Roman"/>
          <w:sz w:val="28"/>
          <w:szCs w:val="28"/>
        </w:rPr>
        <w:t xml:space="preserve">подсистем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управления </w:t>
      </w:r>
      <w:r>
        <w:rPr>
          <w:rFonts w:ascii="Times New Roman" w:hAnsi="Times New Roman"/>
          <w:sz w:val="28"/>
          <w:szCs w:val="28"/>
        </w:rPr>
        <w:t xml:space="preserve">денежными средствами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/>
          <w:sz w:val="28"/>
          <w:szCs w:val="28"/>
        </w:rPr>
        <w:t xml:space="preserve"> интегрированной информационной системы управления общественными финансами «Электронный бюджет»</w:t>
      </w:r>
      <w:r>
        <w:rPr>
          <w:rFonts w:ascii="Times New Roman" w:hAnsi="Times New Roman"/>
          <w:sz w:val="28"/>
          <w:szCs w:val="28"/>
        </w:rPr>
        <w:t xml:space="preserve">, оператором которого является Федерального казначейства,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соответствии с Порядком прогнозирования движения средств на едином казначейском счете, утвержденного приказом Федерального казначейства от 31 марта 2020 г. № 13н «О Порядке прогнозирования движения средств на едином казначейском счете»</w:t>
      </w:r>
      <w:r>
        <w:rPr>
          <w:rFonts w:ascii="Times New Roman" w:hAnsi="Times New Roman"/>
          <w:sz w:val="28"/>
          <w:szCs w:val="28"/>
        </w:rPr>
        <w:t xml:space="preserve"> (далее – Порядок 13н)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r/>
      <w:r/>
    </w:p>
    <w:p>
      <w:r/>
      <w:r/>
    </w:p>
    <w:tbl>
      <w:tblPr>
        <w:tblStyle w:val="986"/>
        <w:tblW w:w="0" w:type="auto"/>
        <w:tblLook w:val="04A0" w:firstRow="1" w:lastRow="0" w:firstColumn="1" w:lastColumn="0" w:noHBand="0" w:noVBand="1"/>
      </w:tblPr>
      <w:tblGrid>
        <w:gridCol w:w="513"/>
        <w:gridCol w:w="2923"/>
        <w:gridCol w:w="3401"/>
        <w:gridCol w:w="4496"/>
        <w:gridCol w:w="3368"/>
      </w:tblGrid>
      <w:tr>
        <w:tblPrEx/>
        <w:trPr>
          <w:tblHeader/>
        </w:trPr>
        <w:tc>
          <w:tcPr>
            <w:shd w:val="clear" w:color="auto" w:fill="f2f2f2" w:themeFill="background1" w:themeFillShade="F2"/>
            <w:tcW w:w="0" w:type="auto"/>
            <w:textDirection w:val="lrTb"/>
            <w:noWrap w:val="false"/>
          </w:tcPr>
          <w:p>
            <w:pPr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</w:rPr>
            </w:r>
          </w:p>
          <w:p>
            <w:pPr>
              <w:tabs>
                <w:tab w:val="left" w:pos="1065" w:leader="none"/>
              </w:tabs>
            </w:pPr>
            <w:r>
              <w:rPr>
                <w:rFonts w:ascii="Times New Roman" w:hAnsi="Times New Roman"/>
              </w:rPr>
              <w:t xml:space="preserve">п/п</w:t>
            </w:r>
            <w:r/>
          </w:p>
        </w:tc>
        <w:tc>
          <w:tcPr>
            <w:shd w:val="clear" w:color="auto" w:fill="f2f2f2" w:themeFill="background1" w:themeFillShade="F2"/>
            <w:tcW w:w="0" w:type="auto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полномочия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0" w:type="auto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полномочия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0" w:type="auto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полномочия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2f2f2" w:themeFill="background1" w:themeFillShade="F2"/>
            <w:tcW w:w="0" w:type="auto"/>
            <w:textDirection w:val="lrTb"/>
            <w:noWrap w:val="false"/>
          </w:tcPr>
          <w:p>
            <w:pPr>
              <w:jc w:val="center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связанные с полномочием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110"/>
        </w:trPr>
        <w:tc>
          <w:tcPr>
            <w:gridSpan w:val="5"/>
            <w:shd w:val="clear" w:color="auto" w:fill="auto"/>
            <w:tcW w:w="0" w:type="auto"/>
            <w:textDirection w:val="lrTb"/>
            <w:noWrap w:val="false"/>
          </w:tcPr>
          <w:p>
            <w:pPr>
              <w:ind w:right="13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ind w:right="139"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омпонент прогнозирования остатка средств на счетах Федерального казначейства, необходимого для осуществления платежей, модул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кассового планирования подсистемы управления денежными средствами государственной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интегрированной информационной системы управления общественными финансами «Электронный бюджет»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ind w:right="139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33"/>
        </w:trPr>
        <w:tc>
          <w:tcPr>
            <w:gridSpan w:val="5"/>
            <w:shd w:val="clear" w:color="auto" w:fill="auto"/>
            <w:tcW w:w="0" w:type="auto"/>
            <w:textDirection w:val="lrTb"/>
            <w:noWrap w:val="false"/>
          </w:tcPr>
          <w:p>
            <w:pPr>
              <w:ind w:right="139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процесса прогнозирования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(далее – УПП)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977"/>
        </w:trPr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FK9800_GIISEB_EB10054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Подписание документа УПП ответственным лицом, руководителем (первая подпись)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полномочия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пользователю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подписани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сформированных исполнителем документов участника процесса прогнозирования документов (Приложений 3,4,5,6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Порядку 13н) первой подписью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КП.УПП.Подписание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УПП (ответственное лицо)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FK9800_GIISEB_EB10055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Подписание документа УПП ответственным лицом, руководителем (первая подпись) с выдачей разрешения дополнительно на просмотр и Возврат в черновик из статуса На подписании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полномочия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ользователю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Подписанта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Просмотр, Возврат в черновик из статуса На подписании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подписани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сформированных исполнителем документов участника процесса прогнозирования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(Приложений 3,4,5,6 к Порядку 13н) первой подписью.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КП.УПП.Просмотр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УПП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КП.УПП.Возврат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черновик из статуса На подписании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КП.УПП.Подписание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УПП (ответственное лицо)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0" w:type="auto"/>
            <w:textDirection w:val="lrTb"/>
            <w:noWrap w:val="false"/>
          </w:tcPr>
          <w:p>
            <w:pPr>
              <w:jc w:val="center"/>
              <w:spacing w:before="240" w:after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Федерального казначейства по субъектам Российской Федерации (далее – ТОФК)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453"/>
        </w:trPr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FK9800_GIISEB_EB10056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Подписание документа ТОФК ответственным лицом, руководителем (первая подпись)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полномочия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пользователю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подписани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сформированных исполнителем ТОФК или МОУ документов ТОФК (Приложение 9 к Порядку 13н, Отчет ТОФК) первой подписью.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КП.ТОФК.Подписание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ТОФК (ответственное лицо)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126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 w:clear="all"/>
              <w:t xml:space="preserve">4.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FK9800_GIISEB_EB10057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Подписание документа ТОФК ответственным лицом, руководителем (первая подпись) с выдачей разрешения дополнительно на просмотр и Возврат в черновик из статуса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подписании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полномочия пользователю для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"Подписанта": Просмотр, Возврат в черновик из статуса На подписании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подписани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сформированных исполнителем ТОФК или МОУ документов ТОФК (Приложение 9 к Порядку 13н, Отчет ТОФК) первой подписью.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КП.ТОФК.Просмотр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ТОФК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КП.ТОФК.Возврат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черновик из статуса На подписании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935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КП.ТОФК.Подписание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ТОФК (ответственное лицо)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0" w:type="auto"/>
            <w:textDirection w:val="lrTb"/>
            <w:noWrap w:val="false"/>
          </w:tcPr>
          <w:p>
            <w:pPr>
              <w:jc w:val="center"/>
              <w:spacing w:before="240" w:after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Межрегиональное операционное управление Федерального казначейства (далее – МОУ)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952"/>
        </w:trPr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FK9800_GIISEB_EB10058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Подписание документа свода ТОФК ответственным лицом, руководителем (первая подпись) МОУ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полномочия пользователю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подписани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сформированных исполнителем МОУ документов свод ТОФК (СВОДНЫЕ Приложение 9 к Порядку 13н, Отчет ТОФК) первой подписью.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КП.МОУ.Подписание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свода ТОФК (ответственное лицо)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FK9800_GIISEB_EB10059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Подписание документа свода ТОФК ответственным лицом, руководителем (первая подпись) МОУ с выдачей разрешения дополнительно на просмотр и Возврат в черновик из статуса На подписании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полномочия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пользователю для выполнения всех ролей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"Подписанта"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Просмотр, Возврат в черновик из статуса На подписании и подписание сформированных исполните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лем МОУ  документов свод ТОФК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СВОДНЫЕ Приложение 9 к Порядку 13н,  Отчет ТОФК) первой подписью.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КП.МОУ.Просмотр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свода ТОФК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КП.МОУ.Возврат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черновик из статуса На подписании документов свода ТОФК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060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КП.МОУ.Подписание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свода ТОФК (ответственное лицо)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0" w:type="auto"/>
            <w:textDirection w:val="lrTb"/>
            <w:noWrap w:val="false"/>
          </w:tcPr>
          <w:p>
            <w:pPr>
              <w:jc w:val="center"/>
              <w:spacing w:before="240" w:after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Центральный аппарат Федерального казначейства (далее – ЦАФК)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767"/>
        </w:trPr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FK9800_GIISEB_EB10060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Подписание документа ЦАФК ответственным лицом, руководителем (первая подпись) ЦАФК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полномочия пользователю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подписани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сформированных исполнителем ЦАФК документов ЦАФК (Приложение 1,2 к Порядку 13н) первой подписью.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КП.ЦАФК.Подписание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ЦАФК (ответственное лицо)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FK9800_GIISEB_EB10061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Подписание документа ЦАФК ответственны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лицом, руководителем (первая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подпись)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ЦАФК с выдачей разрешения дополнительно на Просмотр и Возврат в черновик из статуса На подписании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полномочия пользователю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ролей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"Подписанта": Просмотр, Возврат в черновик из статуса На подписании и подписание сформированных исполнителем ЦАФК документов ЦАФК (Приложение 1,2 к Порядку 13н) первой подписью.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КП.ЦАФК.Просмотр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ЦАФК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КП.ЦАФК.Возврат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черновик из статуса На подписании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tabs>
                <w:tab w:val="left" w:pos="106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КП.ЦАФК.Подписание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ЦАФК (ответственное лицо)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430"/>
        </w:trPr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FK9800_GIISEB_EB10062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сотрудниками ЦАФК документов УПП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полномочия пользователю для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УПП (Приложения 3,4,5,6 к Порядку 13н).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КП.ЦАФК.Просмотр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всех документов УПП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195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FK9800_GIISEB_EB10063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сотрудниками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ЦАФК документов ТОФК и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свода ТОФК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полномочия пользователю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документов ТОФК и сводных документов ТОФК (Приложения 9 к Порядку 13н и Отчет ТОФК).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КП.ЦАФК.Просмотр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всех документов ТОФК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59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КП.ЦАФК.Просмотр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свода ТОФК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59"/>
        </w:trPr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FK9800_GIISEB_EB10064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сотрудниками ЦАФК документов ЦАФК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полномочия пользователю для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ЦАФК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КП.ЦАФК.Просмотр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ЦАФК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59"/>
        </w:trPr>
        <w:tc>
          <w:tcPr>
            <w:tcW w:w="0" w:type="auto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</w:t>
            </w:r>
            <w:r>
              <w:rPr>
                <w:rFonts w:ascii="Times New Roman" w:hAnsi="Times New Roman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FK9800_GIISEB_EB10065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Доступ сотрудникам ЦАФК к разделу "Формирование аналитических отчетов"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Выдача полномочия пользователю для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разделом "Формирование аналитических отчетов", который позволяет формировать отчеты на основании информации приказа к Порядку 13н.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КП.ЦАФК.Формирование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аналитических отчетов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tabs>
          <w:tab w:val="left" w:pos="1065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8" w:right="1134" w:bottom="851" w:left="993" w:header="284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ind w:left="5387"/>
      <w:jc w:val="center"/>
      <w:spacing w:line="276" w:lineRule="auto"/>
      <w:rPr>
        <w:rFonts w:ascii="Times New Roman" w:hAnsi="Times New Roman" w:cs="Times New Roman"/>
        <w:sz w:val="28"/>
        <w:szCs w:val="28"/>
        <w:lang w:eastAsia="en-US"/>
      </w:rPr>
    </w:pPr>
    <w:r/>
    <w:bookmarkStart w:id="1" w:name="_Toc322613947"/>
    <w:r/>
    <w:bookmarkStart w:id="2" w:name="_Toc322619445"/>
    <w:r/>
    <w:bookmarkStart w:id="3" w:name="_Toc372901644"/>
    <w:r/>
    <w:bookmarkStart w:id="4" w:name="_Toc374702077"/>
    <w:r/>
    <w:bookmarkStart w:id="5" w:name="_Toc372901645"/>
    <w:r/>
    <w:bookmarkStart w:id="6" w:name="_Toc374702078"/>
    <w:r/>
    <w:bookmarkStart w:id="7" w:name="_Toc372901646"/>
    <w:r/>
    <w:bookmarkStart w:id="8" w:name="_Toc374702079"/>
    <w:r/>
    <w:bookmarkStart w:id="9" w:name="_Toc372901647"/>
    <w:r/>
    <w:bookmarkStart w:id="10" w:name="_Toc374702080"/>
    <w:r/>
    <w:bookmarkStart w:id="11" w:name="_Toc372901648"/>
    <w:r/>
    <w:bookmarkStart w:id="12" w:name="_Toc374702081"/>
    <w:r/>
    <w:bookmarkStart w:id="13" w:name="_Toc372901649"/>
    <w:r/>
    <w:bookmarkStart w:id="14" w:name="_Toc374702082"/>
    <w:r/>
    <w:bookmarkEnd w:id="1"/>
    <w:r/>
    <w:bookmarkEnd w:id="2"/>
    <w:r/>
    <w:bookmarkEnd w:id="3"/>
    <w:r/>
    <w:bookmarkEnd w:id="4"/>
    <w:r/>
    <w:bookmarkEnd w:id="5"/>
    <w:r/>
    <w:bookmarkEnd w:id="6"/>
    <w:r/>
    <w:bookmarkEnd w:id="7"/>
    <w:r/>
    <w:bookmarkEnd w:id="8"/>
    <w:r/>
    <w:bookmarkEnd w:id="9"/>
    <w:r/>
    <w:bookmarkEnd w:id="10"/>
    <w:r/>
    <w:bookmarkEnd w:id="11"/>
    <w:r/>
    <w:bookmarkEnd w:id="12"/>
    <w:r/>
    <w:bookmarkEnd w:id="13"/>
    <w:r/>
    <w:bookmarkEnd w:id="14"/>
    <w:r/>
    <w:r>
      <w:rPr>
        <w:rFonts w:ascii="Times New Roman" w:hAnsi="Times New Roman" w:cs="Times New Roman"/>
        <w:sz w:val="28"/>
        <w:szCs w:val="28"/>
        <w:lang w:eastAsia="en-US"/>
      </w:rPr>
    </w:r>
  </w:p>
  <w:p>
    <w:pPr>
      <w:pStyle w:val="1006"/>
      <w:ind w:right="139"/>
      <w:jc w:val="right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 xml:space="preserve">Полномочия для МЧД</w:t>
    </w:r>
    <w:r>
      <w:rPr>
        <w:rFonts w:ascii="Times New Roman" w:hAnsi="Times New Roman" w:cs="Times New Roman"/>
        <w:sz w:val="28"/>
        <w:szCs w:val="28"/>
        <w:lang w:eastAsia="en-US"/>
      </w:rPr>
    </w:r>
  </w:p>
  <w:p>
    <w:pPr>
      <w:pStyle w:val="1006"/>
      <w:ind w:left="5245" w:right="139"/>
      <w:jc w:val="right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 xml:space="preserve">в модуле</w:t>
    </w:r>
    <w:r>
      <w:rPr>
        <w:rFonts w:ascii="Times New Roman" w:hAnsi="Times New Roman" w:cs="Times New Roman"/>
        <w:sz w:val="28"/>
        <w:szCs w:val="28"/>
        <w:lang w:eastAsia="en-US"/>
      </w:rPr>
      <w:t xml:space="preserve"> кассового планирования </w:t>
    </w:r>
    <w:r>
      <w:rPr>
        <w:rFonts w:ascii="Times New Roman" w:hAnsi="Times New Roman" w:cs="Times New Roman"/>
        <w:sz w:val="28"/>
        <w:szCs w:val="28"/>
        <w:lang w:eastAsia="en-US"/>
      </w:rPr>
    </w:r>
  </w:p>
  <w:p>
    <w:pPr>
      <w:pStyle w:val="1006"/>
      <w:ind w:left="5245" w:right="139"/>
      <w:jc w:val="right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 xml:space="preserve">подсистемы управления денежными </w:t>
    </w:r>
    <w:r>
      <w:rPr>
        <w:rFonts w:ascii="Times New Roman" w:hAnsi="Times New Roman" w:cs="Times New Roman"/>
        <w:sz w:val="28"/>
        <w:szCs w:val="28"/>
        <w:lang w:eastAsia="en-US"/>
      </w:rPr>
    </w:r>
  </w:p>
  <w:p>
    <w:pPr>
      <w:pStyle w:val="1006"/>
      <w:ind w:left="5245" w:right="139"/>
      <w:jc w:val="right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 xml:space="preserve">средствами государственной интегрированной </w:t>
    </w:r>
    <w:r>
      <w:rPr>
        <w:rFonts w:ascii="Times New Roman" w:hAnsi="Times New Roman" w:cs="Times New Roman"/>
        <w:sz w:val="28"/>
        <w:szCs w:val="28"/>
        <w:lang w:eastAsia="en-US"/>
      </w:rPr>
    </w:r>
  </w:p>
  <w:p>
    <w:pPr>
      <w:pStyle w:val="1006"/>
      <w:ind w:left="5245" w:right="139"/>
      <w:jc w:val="right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 xml:space="preserve">информационной системы управления </w:t>
    </w:r>
    <w:r>
      <w:rPr>
        <w:rFonts w:ascii="Times New Roman" w:hAnsi="Times New Roman" w:cs="Times New Roman"/>
        <w:sz w:val="28"/>
        <w:szCs w:val="28"/>
        <w:lang w:eastAsia="en-US"/>
      </w:rPr>
    </w:r>
  </w:p>
  <w:p>
    <w:pPr>
      <w:pStyle w:val="1006"/>
      <w:ind w:left="5245" w:right="139"/>
      <w:jc w:val="right"/>
      <w:rPr>
        <w:rFonts w:ascii="Times New Roman" w:hAnsi="Times New Roman" w:cs="Times New Roman"/>
        <w:sz w:val="28"/>
        <w:szCs w:val="28"/>
        <w:lang w:eastAsia="en-US"/>
      </w:rPr>
    </w:pPr>
    <w:r>
      <w:rPr>
        <w:rFonts w:ascii="Times New Roman" w:hAnsi="Times New Roman" w:cs="Times New Roman"/>
        <w:sz w:val="28"/>
        <w:szCs w:val="28"/>
        <w:lang w:eastAsia="en-US"/>
      </w:rPr>
      <w:t xml:space="preserve">общественными финансами «Электронный бюджет»</w:t>
    </w:r>
    <w:r>
      <w:rPr>
        <w:rFonts w:ascii="Times New Roman" w:hAnsi="Times New Roman" w:cs="Times New Roman"/>
        <w:sz w:val="28"/>
        <w:szCs w:val="28"/>
        <w:lang w:eastAsia="en-US"/>
      </w:rPr>
    </w:r>
  </w:p>
  <w:p>
    <w:pPr>
      <w:pStyle w:val="9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pStyle w:val="803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 w:cs="Times New Roman"/>
      </w:rPr>
    </w:lvl>
    <w:lvl w:ilvl="1">
      <w:start w:val="1"/>
      <w:numFmt w:val="decimal"/>
      <w:pStyle w:val="804"/>
      <w:isLgl w:val="false"/>
      <w:suff w:val="tab"/>
      <w:lvlText w:val="%1.%2."/>
      <w:lvlJc w:val="left"/>
      <w:pPr>
        <w:ind w:left="567" w:hanging="567"/>
        <w:tabs>
          <w:tab w:val="num" w:pos="567" w:leader="none"/>
        </w:tabs>
      </w:pPr>
      <w:rPr>
        <w:rFonts w:hint="default" w:ascii="Times New Roman" w:hAnsi="Times New Roman" w:cs="Times New Roman"/>
        <w:b/>
        <w:i w:val="0"/>
        <w:sz w:val="32"/>
        <w:szCs w:val="32"/>
      </w:rPr>
    </w:lvl>
    <w:lvl w:ilvl="2">
      <w:start w:val="1"/>
      <w:numFmt w:val="decimal"/>
      <w:pStyle w:val="805"/>
      <w:isLgl w:val="false"/>
      <w:suff w:val="tab"/>
      <w:lvlText w:val="%1.%2.%3."/>
      <w:lvlJc w:val="left"/>
      <w:pPr>
        <w:ind w:left="964" w:hanging="964"/>
        <w:tabs>
          <w:tab w:val="num" w:pos="964" w:leader="none"/>
        </w:tabs>
      </w:pPr>
      <w:rPr>
        <w:rFonts w:hint="default" w:ascii="Times New Roman" w:hAnsi="Times New Roman" w:cs="Times New Roman"/>
        <w:b/>
        <w:i w:val="0"/>
        <w:sz w:val="28"/>
        <w:szCs w:val="28"/>
      </w:rPr>
    </w:lvl>
    <w:lvl w:ilvl="3">
      <w:start w:val="1"/>
      <w:numFmt w:val="decimal"/>
      <w:pStyle w:val="806"/>
      <w:isLgl w:val="false"/>
      <w:suff w:val="tab"/>
      <w:lvlText w:val="%1.%2.%3.%4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  <w:b/>
        <w:i w:val="0"/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4" w:hanging="1008"/>
        <w:tabs>
          <w:tab w:val="num" w:pos="724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868" w:hanging="1152"/>
        <w:tabs>
          <w:tab w:val="num" w:pos="868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12" w:hanging="1296"/>
        <w:tabs>
          <w:tab w:val="num" w:pos="1012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6" w:hanging="1440"/>
        <w:tabs>
          <w:tab w:val="num" w:pos="1156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00" w:hanging="1584"/>
        <w:tabs>
          <w:tab w:val="num" w:pos="1300" w:leader="none"/>
        </w:tabs>
      </w:pPr>
      <w:rPr>
        <w:rFonts w:hint="default" w:cs="Times New Roman"/>
      </w:rPr>
    </w:lvl>
  </w:abstractNum>
  <w:abstractNum w:abstractNumId="3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none"/>
      <w:pStyle w:val="1028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styleLink w:val="1020"/>
    <w:lvl w:ilvl="0">
      <w:start w:val="1"/>
      <w:numFmt w:val="decimal"/>
      <w:pStyle w:val="1020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8"/>
  </w:num>
  <w:num w:numId="6">
    <w:abstractNumId w:val="1"/>
  </w:num>
  <w:num w:numId="7">
    <w:abstractNumId w:val="3"/>
  </w:num>
  <w:num w:numId="8">
    <w:abstractNumId w:val="10"/>
  </w:num>
  <w:num w:numId="9">
    <w:abstractNumId w:val="14"/>
  </w:num>
  <w:num w:numId="10">
    <w:abstractNumId w:val="9"/>
  </w:num>
  <w:num w:numId="11">
    <w:abstractNumId w:val="5"/>
  </w:num>
  <w:num w:numId="12">
    <w:abstractNumId w:val="0"/>
  </w:num>
  <w:num w:numId="13">
    <w:abstractNumId w:val="16"/>
  </w:num>
  <w:num w:numId="14">
    <w:abstractNumId w:val="13"/>
  </w:num>
  <w:num w:numId="15">
    <w:abstractNumId w:val="19"/>
  </w:num>
  <w:num w:numId="16">
    <w:abstractNumId w:val="15"/>
  </w:num>
  <w:num w:numId="17">
    <w:abstractNumId w:val="12"/>
  </w:num>
  <w:num w:numId="18">
    <w:abstractNumId w:val="11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2" w:default="1">
    <w:name w:val="Normal"/>
    <w:qFormat/>
    <w:rPr>
      <w:rFonts w:eastAsia="Times New Roman"/>
      <w:sz w:val="22"/>
      <w:szCs w:val="22"/>
      <w:lang w:eastAsia="en-US"/>
    </w:rPr>
  </w:style>
  <w:style w:type="paragraph" w:styleId="803">
    <w:name w:val="Heading 1"/>
    <w:basedOn w:val="802"/>
    <w:next w:val="1014"/>
    <w:link w:val="1007"/>
    <w:uiPriority w:val="99"/>
    <w:qFormat/>
    <w:pPr>
      <w:numPr>
        <w:ilvl w:val="0"/>
        <w:numId w:val="1"/>
      </w:numPr>
      <w:contextualSpacing/>
      <w:jc w:val="center"/>
      <w:keepNext/>
      <w:pageBreakBefore/>
      <w:spacing w:before="240" w:after="480"/>
      <w:outlineLvl w:val="0"/>
    </w:pPr>
    <w:rPr>
      <w:rFonts w:ascii="Times New Roman" w:hAnsi="Times New Roman"/>
      <w:b/>
      <w:caps/>
      <w:sz w:val="32"/>
      <w:szCs w:val="36"/>
    </w:rPr>
  </w:style>
  <w:style w:type="paragraph" w:styleId="804">
    <w:name w:val="Heading 2"/>
    <w:basedOn w:val="803"/>
    <w:next w:val="1014"/>
    <w:link w:val="1008"/>
    <w:uiPriority w:val="99"/>
    <w:qFormat/>
    <w:pPr>
      <w:numPr>
        <w:ilvl w:val="1"/>
      </w:numPr>
      <w:jc w:val="left"/>
      <w:pageBreakBefore w:val="0"/>
      <w:spacing w:after="240"/>
      <w:tabs>
        <w:tab w:val="left" w:pos="851" w:leader="none"/>
      </w:tabs>
      <w:outlineLvl w:val="1"/>
    </w:pPr>
    <w:rPr>
      <w:bCs/>
      <w:iCs/>
      <w:caps w:val="0"/>
      <w:szCs w:val="32"/>
    </w:rPr>
  </w:style>
  <w:style w:type="paragraph" w:styleId="805">
    <w:name w:val="Heading 3"/>
    <w:basedOn w:val="804"/>
    <w:next w:val="1014"/>
    <w:link w:val="1009"/>
    <w:uiPriority w:val="99"/>
    <w:qFormat/>
    <w:pPr>
      <w:numPr>
        <w:ilvl w:val="2"/>
      </w:numPr>
      <w:keepLines/>
      <w:tabs>
        <w:tab w:val="clear" w:pos="851" w:leader="none"/>
      </w:tabs>
      <w:outlineLvl w:val="2"/>
    </w:pPr>
    <w:rPr>
      <w:bCs w:val="0"/>
      <w:sz w:val="28"/>
      <w:szCs w:val="26"/>
    </w:rPr>
  </w:style>
  <w:style w:type="paragraph" w:styleId="806">
    <w:name w:val="Heading 4"/>
    <w:basedOn w:val="805"/>
    <w:next w:val="1014"/>
    <w:link w:val="1010"/>
    <w:uiPriority w:val="99"/>
    <w:qFormat/>
    <w:pPr>
      <w:numPr>
        <w:ilvl w:val="3"/>
      </w:numPr>
      <w:outlineLvl w:val="3"/>
    </w:pPr>
    <w:rPr>
      <w:sz w:val="24"/>
    </w:rPr>
  </w:style>
  <w:style w:type="paragraph" w:styleId="807">
    <w:name w:val="Heading 5"/>
    <w:basedOn w:val="802"/>
    <w:next w:val="802"/>
    <w:link w:val="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8">
    <w:name w:val="Heading 6"/>
    <w:basedOn w:val="802"/>
    <w:next w:val="802"/>
    <w:link w:val="8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09">
    <w:name w:val="Heading 7"/>
    <w:basedOn w:val="802"/>
    <w:next w:val="802"/>
    <w:link w:val="8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10">
    <w:name w:val="Heading 8"/>
    <w:basedOn w:val="802"/>
    <w:next w:val="802"/>
    <w:link w:val="8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11">
    <w:name w:val="Heading 9"/>
    <w:basedOn w:val="802"/>
    <w:next w:val="802"/>
    <w:link w:val="8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character" w:styleId="815" w:customStyle="1">
    <w:name w:val="Heading 5 Char"/>
    <w:basedOn w:val="812"/>
    <w:uiPriority w:val="9"/>
    <w:rPr>
      <w:rFonts w:ascii="Arial" w:hAnsi="Arial" w:eastAsia="Arial" w:cs="Arial"/>
      <w:b/>
      <w:bCs/>
      <w:sz w:val="24"/>
      <w:szCs w:val="24"/>
    </w:rPr>
  </w:style>
  <w:style w:type="character" w:styleId="816" w:customStyle="1">
    <w:name w:val="Heading 6 Char"/>
    <w:basedOn w:val="812"/>
    <w:uiPriority w:val="9"/>
    <w:rPr>
      <w:rFonts w:ascii="Arial" w:hAnsi="Arial" w:eastAsia="Arial" w:cs="Arial"/>
      <w:b/>
      <w:bCs/>
      <w:sz w:val="22"/>
      <w:szCs w:val="22"/>
    </w:rPr>
  </w:style>
  <w:style w:type="character" w:styleId="817" w:customStyle="1">
    <w:name w:val="Heading 7 Char"/>
    <w:basedOn w:val="8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8" w:customStyle="1">
    <w:name w:val="Heading 8 Char"/>
    <w:basedOn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819" w:customStyle="1">
    <w:name w:val="Heading 9 Char"/>
    <w:basedOn w:val="812"/>
    <w:uiPriority w:val="9"/>
    <w:rPr>
      <w:rFonts w:ascii="Arial" w:hAnsi="Arial" w:eastAsia="Arial" w:cs="Arial"/>
      <w:i/>
      <w:iCs/>
      <w:sz w:val="21"/>
      <w:szCs w:val="21"/>
    </w:rPr>
  </w:style>
  <w:style w:type="character" w:styleId="820" w:customStyle="1">
    <w:name w:val="Title Char"/>
    <w:basedOn w:val="812"/>
    <w:uiPriority w:val="10"/>
    <w:rPr>
      <w:sz w:val="48"/>
      <w:szCs w:val="48"/>
    </w:rPr>
  </w:style>
  <w:style w:type="character" w:styleId="821" w:customStyle="1">
    <w:name w:val="Subtitle Char"/>
    <w:basedOn w:val="812"/>
    <w:uiPriority w:val="11"/>
    <w:rPr>
      <w:sz w:val="24"/>
      <w:szCs w:val="24"/>
    </w:rPr>
  </w:style>
  <w:style w:type="character" w:styleId="822" w:customStyle="1">
    <w:name w:val="Quote Char"/>
    <w:uiPriority w:val="29"/>
    <w:rPr>
      <w:i/>
    </w:rPr>
  </w:style>
  <w:style w:type="character" w:styleId="823" w:customStyle="1">
    <w:name w:val="Intense Quote Char"/>
    <w:uiPriority w:val="30"/>
    <w:rPr>
      <w:i/>
    </w:rPr>
  </w:style>
  <w:style w:type="character" w:styleId="824" w:customStyle="1">
    <w:name w:val="Heading 1 Char"/>
    <w:basedOn w:val="812"/>
    <w:uiPriority w:val="9"/>
    <w:rPr>
      <w:rFonts w:ascii="Arial" w:hAnsi="Arial" w:eastAsia="Arial" w:cs="Arial"/>
      <w:sz w:val="40"/>
      <w:szCs w:val="40"/>
    </w:rPr>
  </w:style>
  <w:style w:type="character" w:styleId="825" w:customStyle="1">
    <w:name w:val="Heading 2 Char"/>
    <w:basedOn w:val="812"/>
    <w:uiPriority w:val="9"/>
    <w:rPr>
      <w:rFonts w:ascii="Arial" w:hAnsi="Arial" w:eastAsia="Arial" w:cs="Arial"/>
      <w:sz w:val="34"/>
    </w:rPr>
  </w:style>
  <w:style w:type="character" w:styleId="826" w:customStyle="1">
    <w:name w:val="Heading 3 Char"/>
    <w:basedOn w:val="812"/>
    <w:uiPriority w:val="9"/>
    <w:rPr>
      <w:rFonts w:ascii="Arial" w:hAnsi="Arial" w:eastAsia="Arial" w:cs="Arial"/>
      <w:sz w:val="30"/>
      <w:szCs w:val="30"/>
    </w:rPr>
  </w:style>
  <w:style w:type="character" w:styleId="827" w:customStyle="1">
    <w:name w:val="Heading 4 Char"/>
    <w:basedOn w:val="812"/>
    <w:uiPriority w:val="9"/>
    <w:rPr>
      <w:rFonts w:ascii="Arial" w:hAnsi="Arial" w:eastAsia="Arial" w:cs="Arial"/>
      <w:b/>
      <w:bCs/>
      <w:sz w:val="26"/>
      <w:szCs w:val="26"/>
    </w:rPr>
  </w:style>
  <w:style w:type="character" w:styleId="828" w:customStyle="1">
    <w:name w:val="Заголовок 5 Знак"/>
    <w:basedOn w:val="812"/>
    <w:link w:val="807"/>
    <w:uiPriority w:val="9"/>
    <w:rPr>
      <w:rFonts w:ascii="Arial" w:hAnsi="Arial" w:eastAsia="Arial" w:cs="Arial"/>
      <w:b/>
      <w:bCs/>
      <w:sz w:val="24"/>
      <w:szCs w:val="24"/>
    </w:rPr>
  </w:style>
  <w:style w:type="character" w:styleId="829" w:customStyle="1">
    <w:name w:val="Заголовок 6 Знак"/>
    <w:basedOn w:val="812"/>
    <w:link w:val="808"/>
    <w:uiPriority w:val="9"/>
    <w:rPr>
      <w:rFonts w:ascii="Arial" w:hAnsi="Arial" w:eastAsia="Arial" w:cs="Arial"/>
      <w:b/>
      <w:bCs/>
      <w:sz w:val="22"/>
      <w:szCs w:val="22"/>
    </w:rPr>
  </w:style>
  <w:style w:type="character" w:styleId="830" w:customStyle="1">
    <w:name w:val="Заголовок 7 Знак"/>
    <w:basedOn w:val="812"/>
    <w:link w:val="8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1" w:customStyle="1">
    <w:name w:val="Заголовок 8 Знак"/>
    <w:basedOn w:val="812"/>
    <w:link w:val="810"/>
    <w:uiPriority w:val="9"/>
    <w:rPr>
      <w:rFonts w:ascii="Arial" w:hAnsi="Arial" w:eastAsia="Arial" w:cs="Arial"/>
      <w:i/>
      <w:iCs/>
      <w:sz w:val="22"/>
      <w:szCs w:val="22"/>
    </w:rPr>
  </w:style>
  <w:style w:type="character" w:styleId="832" w:customStyle="1">
    <w:name w:val="Заголовок 9 Знак"/>
    <w:basedOn w:val="812"/>
    <w:link w:val="811"/>
    <w:uiPriority w:val="9"/>
    <w:rPr>
      <w:rFonts w:ascii="Arial" w:hAnsi="Arial" w:eastAsia="Arial" w:cs="Arial"/>
      <w:i/>
      <w:iCs/>
      <w:sz w:val="21"/>
      <w:szCs w:val="21"/>
    </w:rPr>
  </w:style>
  <w:style w:type="paragraph" w:styleId="833">
    <w:name w:val="No Spacing"/>
    <w:uiPriority w:val="1"/>
    <w:qFormat/>
  </w:style>
  <w:style w:type="paragraph" w:styleId="834">
    <w:name w:val="Title"/>
    <w:basedOn w:val="802"/>
    <w:next w:val="802"/>
    <w:link w:val="8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5" w:customStyle="1">
    <w:name w:val="Заголовок Знак"/>
    <w:basedOn w:val="812"/>
    <w:link w:val="834"/>
    <w:uiPriority w:val="10"/>
    <w:rPr>
      <w:sz w:val="48"/>
      <w:szCs w:val="48"/>
    </w:rPr>
  </w:style>
  <w:style w:type="paragraph" w:styleId="836">
    <w:name w:val="Subtitle"/>
    <w:basedOn w:val="802"/>
    <w:next w:val="802"/>
    <w:link w:val="837"/>
    <w:uiPriority w:val="11"/>
    <w:qFormat/>
    <w:pPr>
      <w:spacing w:before="200" w:after="200"/>
    </w:pPr>
    <w:rPr>
      <w:sz w:val="24"/>
      <w:szCs w:val="24"/>
    </w:rPr>
  </w:style>
  <w:style w:type="character" w:styleId="837" w:customStyle="1">
    <w:name w:val="Подзаголовок Знак"/>
    <w:basedOn w:val="812"/>
    <w:link w:val="836"/>
    <w:uiPriority w:val="11"/>
    <w:rPr>
      <w:sz w:val="24"/>
      <w:szCs w:val="24"/>
    </w:rPr>
  </w:style>
  <w:style w:type="paragraph" w:styleId="838">
    <w:name w:val="Quote"/>
    <w:basedOn w:val="802"/>
    <w:next w:val="802"/>
    <w:link w:val="839"/>
    <w:uiPriority w:val="29"/>
    <w:qFormat/>
    <w:pPr>
      <w:ind w:left="720" w:right="720"/>
    </w:pPr>
    <w:rPr>
      <w:i/>
    </w:rPr>
  </w:style>
  <w:style w:type="character" w:styleId="839" w:customStyle="1">
    <w:name w:val="Цитата 2 Знак"/>
    <w:link w:val="838"/>
    <w:uiPriority w:val="29"/>
    <w:rPr>
      <w:i/>
    </w:rPr>
  </w:style>
  <w:style w:type="paragraph" w:styleId="840">
    <w:name w:val="Intense Quote"/>
    <w:basedOn w:val="802"/>
    <w:next w:val="802"/>
    <w:link w:val="8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1" w:customStyle="1">
    <w:name w:val="Выделенная цитата Знак"/>
    <w:link w:val="840"/>
    <w:uiPriority w:val="30"/>
    <w:rPr>
      <w:i/>
    </w:rPr>
  </w:style>
  <w:style w:type="character" w:styleId="842" w:customStyle="1">
    <w:name w:val="Header Char"/>
    <w:basedOn w:val="812"/>
    <w:uiPriority w:val="99"/>
  </w:style>
  <w:style w:type="character" w:styleId="843" w:customStyle="1">
    <w:name w:val="Footer Char"/>
    <w:basedOn w:val="812"/>
    <w:uiPriority w:val="99"/>
  </w:style>
  <w:style w:type="paragraph" w:styleId="844">
    <w:name w:val="Caption"/>
    <w:basedOn w:val="802"/>
    <w:next w:val="80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45" w:customStyle="1">
    <w:name w:val="Caption Char"/>
    <w:uiPriority w:val="99"/>
  </w:style>
  <w:style w:type="table" w:styleId="846" w:customStyle="1">
    <w:name w:val="Table Grid Light"/>
    <w:basedOn w:val="8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7">
    <w:name w:val="Plain Table 1"/>
    <w:basedOn w:val="81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>
    <w:name w:val="Plain Table 2"/>
    <w:basedOn w:val="81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>
    <w:name w:val="Plain Table 3"/>
    <w:basedOn w:val="8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0">
    <w:name w:val="Plain Table 4"/>
    <w:basedOn w:val="8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Plain Table 5"/>
    <w:basedOn w:val="81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2">
    <w:name w:val="Grid Table 1 Light"/>
    <w:basedOn w:val="81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1"/>
    <w:basedOn w:val="8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2"/>
    <w:basedOn w:val="8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3"/>
    <w:basedOn w:val="8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4"/>
    <w:basedOn w:val="8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5"/>
    <w:basedOn w:val="8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6"/>
    <w:basedOn w:val="8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2"/>
    <w:basedOn w:val="8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1"/>
    <w:basedOn w:val="8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2"/>
    <w:basedOn w:val="8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3"/>
    <w:basedOn w:val="8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4"/>
    <w:basedOn w:val="8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5"/>
    <w:basedOn w:val="8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6"/>
    <w:basedOn w:val="8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"/>
    <w:basedOn w:val="81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1"/>
    <w:basedOn w:val="81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2"/>
    <w:basedOn w:val="81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3"/>
    <w:basedOn w:val="81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4"/>
    <w:basedOn w:val="81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5"/>
    <w:basedOn w:val="81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6"/>
    <w:basedOn w:val="81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4"/>
    <w:basedOn w:val="81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4" w:customStyle="1">
    <w:name w:val="Grid Table 4 - Accent 1"/>
    <w:basedOn w:val="81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75" w:customStyle="1">
    <w:name w:val="Grid Table 4 - Accent 2"/>
    <w:basedOn w:val="81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6" w:customStyle="1">
    <w:name w:val="Grid Table 4 - Accent 3"/>
    <w:basedOn w:val="81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7" w:customStyle="1">
    <w:name w:val="Grid Table 4 - Accent 4"/>
    <w:basedOn w:val="81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8" w:customStyle="1">
    <w:name w:val="Grid Table 4 - Accent 5"/>
    <w:basedOn w:val="81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79" w:customStyle="1">
    <w:name w:val="Grid Table 4 - Accent 6"/>
    <w:basedOn w:val="81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0">
    <w:name w:val="Grid Table 5 Dark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- Accent 1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2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3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- Accent 4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5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6"/>
    <w:basedOn w:val="81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7">
    <w:name w:val="Grid Table 6 Colorful"/>
    <w:basedOn w:val="81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8" w:customStyle="1">
    <w:name w:val="Grid Table 6 Colorful - Accent 1"/>
    <w:basedOn w:val="81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89" w:customStyle="1">
    <w:name w:val="Grid Table 6 Colorful - Accent 2"/>
    <w:basedOn w:val="8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0" w:customStyle="1">
    <w:name w:val="Grid Table 6 Colorful - Accent 3"/>
    <w:basedOn w:val="81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91" w:customStyle="1">
    <w:name w:val="Grid Table 6 Colorful - Accent 4"/>
    <w:basedOn w:val="8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2" w:customStyle="1">
    <w:name w:val="Grid Table 6 Colorful - Accent 5"/>
    <w:basedOn w:val="81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3" w:customStyle="1">
    <w:name w:val="Grid Table 6 Colorful - Accent 6"/>
    <w:basedOn w:val="81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4">
    <w:name w:val="Grid Table 7 Colorful"/>
    <w:basedOn w:val="81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Grid Table 7 Colorful - Accent 1"/>
    <w:basedOn w:val="81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Grid Table 7 Colorful - Accent 2"/>
    <w:basedOn w:val="81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Grid Table 7 Colorful - Accent 3"/>
    <w:basedOn w:val="81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Grid Table 7 Colorful - Accent 4"/>
    <w:basedOn w:val="81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Grid Table 7 Colorful - Accent 5"/>
    <w:basedOn w:val="81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Grid Table 7 Colorful - Accent 6"/>
    <w:basedOn w:val="81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>
    <w:name w:val="List Table 1 Light"/>
    <w:basedOn w:val="81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1"/>
    <w:basedOn w:val="81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2"/>
    <w:basedOn w:val="81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3"/>
    <w:basedOn w:val="81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4"/>
    <w:basedOn w:val="81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5"/>
    <w:basedOn w:val="81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6"/>
    <w:basedOn w:val="81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2"/>
    <w:basedOn w:val="81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1"/>
    <w:basedOn w:val="81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2"/>
    <w:basedOn w:val="81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3"/>
    <w:basedOn w:val="81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4"/>
    <w:basedOn w:val="81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5"/>
    <w:basedOn w:val="81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6"/>
    <w:basedOn w:val="81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5">
    <w:name w:val="List Table 3"/>
    <w:basedOn w:val="8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1"/>
    <w:basedOn w:val="81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2"/>
    <w:basedOn w:val="81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3"/>
    <w:basedOn w:val="81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4"/>
    <w:basedOn w:val="81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5"/>
    <w:basedOn w:val="81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6"/>
    <w:basedOn w:val="81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"/>
    <w:basedOn w:val="81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1"/>
    <w:basedOn w:val="81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2"/>
    <w:basedOn w:val="81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3"/>
    <w:basedOn w:val="81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4"/>
    <w:basedOn w:val="81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5"/>
    <w:basedOn w:val="81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6"/>
    <w:basedOn w:val="81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5 Dark"/>
    <w:basedOn w:val="81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1"/>
    <w:basedOn w:val="81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2"/>
    <w:basedOn w:val="81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3"/>
    <w:basedOn w:val="81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4"/>
    <w:basedOn w:val="81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5"/>
    <w:basedOn w:val="81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6"/>
    <w:basedOn w:val="81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>
    <w:name w:val="List Table 6 Colorful"/>
    <w:basedOn w:val="81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7" w:customStyle="1">
    <w:name w:val="List Table 6 Colorful - Accent 1"/>
    <w:basedOn w:val="81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38" w:customStyle="1">
    <w:name w:val="List Table 6 Colorful - Accent 2"/>
    <w:basedOn w:val="81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9" w:customStyle="1">
    <w:name w:val="List Table 6 Colorful - Accent 3"/>
    <w:basedOn w:val="81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40" w:customStyle="1">
    <w:name w:val="List Table 6 Colorful - Accent 4"/>
    <w:basedOn w:val="81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41" w:customStyle="1">
    <w:name w:val="List Table 6 Colorful - Accent 5"/>
    <w:basedOn w:val="81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42" w:customStyle="1">
    <w:name w:val="List Table 6 Colorful - Accent 6"/>
    <w:basedOn w:val="81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3">
    <w:name w:val="List Table 7 Colorful"/>
    <w:basedOn w:val="81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4" w:customStyle="1">
    <w:name w:val="List Table 7 Colorful - Accent 1"/>
    <w:basedOn w:val="81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5" w:customStyle="1">
    <w:name w:val="List Table 7 Colorful - Accent 2"/>
    <w:basedOn w:val="81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6" w:customStyle="1">
    <w:name w:val="List Table 7 Colorful - Accent 3"/>
    <w:basedOn w:val="81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7" w:customStyle="1">
    <w:name w:val="List Table 7 Colorful - Accent 4"/>
    <w:basedOn w:val="81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8" w:customStyle="1">
    <w:name w:val="List Table 7 Colorful - Accent 5"/>
    <w:basedOn w:val="81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9" w:customStyle="1">
    <w:name w:val="List Table 7 Colorful - Accent 6"/>
    <w:basedOn w:val="81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0" w:customStyle="1">
    <w:name w:val="Lined - Accent"/>
    <w:basedOn w:val="8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1" w:customStyle="1">
    <w:name w:val="Lined - Accent 1"/>
    <w:basedOn w:val="8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2" w:customStyle="1">
    <w:name w:val="Lined - Accent 2"/>
    <w:basedOn w:val="8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3" w:customStyle="1">
    <w:name w:val="Lined - Accent 3"/>
    <w:basedOn w:val="8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4" w:customStyle="1">
    <w:name w:val="Lined - Accent 4"/>
    <w:basedOn w:val="8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5" w:customStyle="1">
    <w:name w:val="Lined - Accent 5"/>
    <w:basedOn w:val="8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56" w:customStyle="1">
    <w:name w:val="Lined - Accent 6"/>
    <w:basedOn w:val="81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7" w:customStyle="1">
    <w:name w:val="Bordered &amp; Lined - Accent"/>
    <w:basedOn w:val="81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8" w:customStyle="1">
    <w:name w:val="Bordered &amp; Lined - Accent 1"/>
    <w:basedOn w:val="81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59" w:customStyle="1">
    <w:name w:val="Bordered &amp; Lined - Accent 2"/>
    <w:basedOn w:val="81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60" w:customStyle="1">
    <w:name w:val="Bordered &amp; Lined - Accent 3"/>
    <w:basedOn w:val="81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61" w:customStyle="1">
    <w:name w:val="Bordered &amp; Lined - Accent 4"/>
    <w:basedOn w:val="81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62" w:customStyle="1">
    <w:name w:val="Bordered &amp; Lined - Accent 5"/>
    <w:basedOn w:val="81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63" w:customStyle="1">
    <w:name w:val="Bordered &amp; Lined - Accent 6"/>
    <w:basedOn w:val="81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4" w:customStyle="1">
    <w:name w:val="Bordered"/>
    <w:basedOn w:val="81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5" w:customStyle="1">
    <w:name w:val="Bordered - Accent 1"/>
    <w:basedOn w:val="81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6" w:customStyle="1">
    <w:name w:val="Bordered - Accent 2"/>
    <w:basedOn w:val="81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7" w:customStyle="1">
    <w:name w:val="Bordered - Accent 3"/>
    <w:basedOn w:val="81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8" w:customStyle="1">
    <w:name w:val="Bordered - Accent 4"/>
    <w:basedOn w:val="81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9" w:customStyle="1">
    <w:name w:val="Bordered - Accent 5"/>
    <w:basedOn w:val="81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70" w:customStyle="1">
    <w:name w:val="Bordered - Accent 6"/>
    <w:basedOn w:val="81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71" w:customStyle="1">
    <w:name w:val="Footnote Text Char"/>
    <w:uiPriority w:val="99"/>
    <w:rPr>
      <w:sz w:val="18"/>
    </w:rPr>
  </w:style>
  <w:style w:type="character" w:styleId="972" w:customStyle="1">
    <w:name w:val="Endnote Text Char"/>
    <w:uiPriority w:val="99"/>
    <w:rPr>
      <w:sz w:val="20"/>
    </w:rPr>
  </w:style>
  <w:style w:type="paragraph" w:styleId="973">
    <w:name w:val="toc 1"/>
    <w:basedOn w:val="802"/>
    <w:next w:val="802"/>
    <w:uiPriority w:val="39"/>
    <w:unhideWhenUsed/>
    <w:pPr>
      <w:spacing w:after="57"/>
    </w:pPr>
  </w:style>
  <w:style w:type="paragraph" w:styleId="974">
    <w:name w:val="toc 2"/>
    <w:basedOn w:val="802"/>
    <w:next w:val="802"/>
    <w:uiPriority w:val="39"/>
    <w:unhideWhenUsed/>
    <w:pPr>
      <w:ind w:left="283"/>
      <w:spacing w:after="57"/>
    </w:pPr>
  </w:style>
  <w:style w:type="paragraph" w:styleId="975">
    <w:name w:val="toc 3"/>
    <w:basedOn w:val="802"/>
    <w:next w:val="802"/>
    <w:uiPriority w:val="39"/>
    <w:unhideWhenUsed/>
    <w:pPr>
      <w:ind w:left="567"/>
      <w:spacing w:after="57"/>
    </w:pPr>
  </w:style>
  <w:style w:type="paragraph" w:styleId="976">
    <w:name w:val="toc 4"/>
    <w:basedOn w:val="802"/>
    <w:next w:val="802"/>
    <w:uiPriority w:val="39"/>
    <w:unhideWhenUsed/>
    <w:pPr>
      <w:ind w:left="850"/>
      <w:spacing w:after="57"/>
    </w:pPr>
  </w:style>
  <w:style w:type="paragraph" w:styleId="977">
    <w:name w:val="toc 5"/>
    <w:basedOn w:val="802"/>
    <w:next w:val="802"/>
    <w:uiPriority w:val="39"/>
    <w:unhideWhenUsed/>
    <w:pPr>
      <w:ind w:left="1134"/>
      <w:spacing w:after="57"/>
    </w:pPr>
  </w:style>
  <w:style w:type="paragraph" w:styleId="978">
    <w:name w:val="toc 6"/>
    <w:basedOn w:val="802"/>
    <w:next w:val="802"/>
    <w:uiPriority w:val="39"/>
    <w:unhideWhenUsed/>
    <w:pPr>
      <w:ind w:left="1417"/>
      <w:spacing w:after="57"/>
    </w:pPr>
  </w:style>
  <w:style w:type="paragraph" w:styleId="979">
    <w:name w:val="toc 7"/>
    <w:basedOn w:val="802"/>
    <w:next w:val="802"/>
    <w:uiPriority w:val="39"/>
    <w:unhideWhenUsed/>
    <w:pPr>
      <w:ind w:left="1701"/>
      <w:spacing w:after="57"/>
    </w:pPr>
  </w:style>
  <w:style w:type="paragraph" w:styleId="980">
    <w:name w:val="toc 8"/>
    <w:basedOn w:val="802"/>
    <w:next w:val="802"/>
    <w:uiPriority w:val="39"/>
    <w:unhideWhenUsed/>
    <w:pPr>
      <w:ind w:left="1984"/>
      <w:spacing w:after="57"/>
    </w:pPr>
  </w:style>
  <w:style w:type="paragraph" w:styleId="981">
    <w:name w:val="toc 9"/>
    <w:basedOn w:val="802"/>
    <w:next w:val="802"/>
    <w:uiPriority w:val="39"/>
    <w:unhideWhenUsed/>
    <w:pPr>
      <w:ind w:left="2268"/>
      <w:spacing w:after="57"/>
    </w:pPr>
  </w:style>
  <w:style w:type="paragraph" w:styleId="982">
    <w:name w:val="TOC Heading"/>
    <w:uiPriority w:val="39"/>
    <w:unhideWhenUsed/>
  </w:style>
  <w:style w:type="paragraph" w:styleId="983">
    <w:name w:val="table of figures"/>
    <w:basedOn w:val="802"/>
    <w:next w:val="802"/>
    <w:uiPriority w:val="99"/>
    <w:unhideWhenUsed/>
  </w:style>
  <w:style w:type="paragraph" w:styleId="984" w:customStyle="1">
    <w:name w:val="Абзац списка1"/>
    <w:basedOn w:val="802"/>
    <w:link w:val="990"/>
    <w:pPr>
      <w:contextualSpacing/>
      <w:ind w:left="720"/>
    </w:pPr>
  </w:style>
  <w:style w:type="character" w:styleId="985" w:customStyle="1">
    <w:name w:val="Нижний колонтитул Знак"/>
    <w:rPr>
      <w:rFonts w:ascii="Times New Roman" w:hAnsi="Times New Roman"/>
      <w:sz w:val="20"/>
      <w:szCs w:val="20"/>
    </w:rPr>
  </w:style>
  <w:style w:type="table" w:styleId="986">
    <w:name w:val="Table Grid"/>
    <w:basedOn w:val="813"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7">
    <w:name w:val="Balloon Text"/>
    <w:basedOn w:val="802"/>
    <w:link w:val="989"/>
    <w:semiHidden/>
    <w:rPr>
      <w:rFonts w:ascii="Tahoma" w:hAnsi="Tahoma" w:eastAsia="Calibri"/>
      <w:sz w:val="16"/>
      <w:szCs w:val="20"/>
    </w:rPr>
  </w:style>
  <w:style w:type="paragraph" w:styleId="988" w:customStyle="1">
    <w:name w:val="ConsPlusCell"/>
    <w:rPr>
      <w:rFonts w:ascii="Times New Roman" w:hAnsi="Times New Roman" w:eastAsia="Times New Roman"/>
      <w:sz w:val="24"/>
      <w:szCs w:val="24"/>
      <w:lang w:eastAsia="en-US"/>
    </w:rPr>
  </w:style>
  <w:style w:type="character" w:styleId="989" w:customStyle="1">
    <w:name w:val="Текст выноски Знак"/>
    <w:link w:val="987"/>
    <w:semiHidden/>
    <w:rPr>
      <w:rFonts w:ascii="Tahoma" w:hAnsi="Tahoma"/>
      <w:sz w:val="16"/>
    </w:rPr>
  </w:style>
  <w:style w:type="character" w:styleId="990" w:customStyle="1">
    <w:name w:val="List Paragraph Char"/>
    <w:link w:val="984"/>
  </w:style>
  <w:style w:type="character" w:styleId="991">
    <w:name w:val="footnote reference"/>
    <w:uiPriority w:val="99"/>
    <w:rPr>
      <w:rFonts w:cs="Times New Roman"/>
      <w:vertAlign w:val="superscript"/>
    </w:rPr>
  </w:style>
  <w:style w:type="paragraph" w:styleId="992">
    <w:name w:val="footnote text"/>
    <w:basedOn w:val="802"/>
    <w:link w:val="994"/>
    <w:uiPriority w:val="99"/>
    <w:rPr>
      <w:rFonts w:eastAsia="Calibri"/>
      <w:sz w:val="20"/>
      <w:szCs w:val="20"/>
    </w:rPr>
  </w:style>
  <w:style w:type="character" w:styleId="993" w:customStyle="1">
    <w:name w:val="Текст сноски Знак"/>
    <w:semiHidden/>
    <w:rPr>
      <w:sz w:val="20"/>
    </w:rPr>
  </w:style>
  <w:style w:type="character" w:styleId="994" w:customStyle="1">
    <w:name w:val="Текст сноски Знак1"/>
    <w:link w:val="992"/>
    <w:uiPriority w:val="99"/>
    <w:rPr>
      <w:rFonts w:ascii="Calibri" w:hAnsi="Calibri"/>
      <w:sz w:val="20"/>
    </w:rPr>
  </w:style>
  <w:style w:type="paragraph" w:styleId="995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96">
    <w:name w:val="Hyperlink"/>
    <w:rPr>
      <w:rFonts w:cs="Times New Roman"/>
      <w:color w:val="0000ff"/>
      <w:u w:val="single"/>
    </w:rPr>
  </w:style>
  <w:style w:type="paragraph" w:styleId="997">
    <w:name w:val="Header"/>
    <w:basedOn w:val="802"/>
    <w:link w:val="999"/>
    <w:uiPriority w:val="99"/>
    <w:pPr>
      <w:tabs>
        <w:tab w:val="center" w:pos="4153" w:leader="none"/>
        <w:tab w:val="right" w:pos="8306" w:leader="none"/>
      </w:tabs>
    </w:pPr>
    <w:rPr>
      <w:rFonts w:ascii="Times New Roman" w:hAnsi="Times New Roman" w:eastAsia="Calibri"/>
      <w:sz w:val="20"/>
      <w:szCs w:val="20"/>
      <w:lang w:eastAsia="ru-RU"/>
    </w:rPr>
  </w:style>
  <w:style w:type="paragraph" w:styleId="998" w:customStyle="1">
    <w:name w:val="Colorful List - Accent 11"/>
    <w:basedOn w:val="802"/>
    <w:uiPriority w:val="34"/>
    <w:qFormat/>
    <w:pPr>
      <w:contextualSpacing/>
      <w:ind w:left="720"/>
      <w:spacing w:after="200" w:line="276" w:lineRule="auto"/>
    </w:pPr>
    <w:rPr>
      <w:rFonts w:eastAsia="Calibri"/>
    </w:rPr>
  </w:style>
  <w:style w:type="character" w:styleId="999" w:customStyle="1">
    <w:name w:val="Верхний колонтитул Знак"/>
    <w:link w:val="997"/>
    <w:uiPriority w:val="99"/>
    <w:rPr>
      <w:rFonts w:ascii="Times New Roman" w:hAnsi="Times New Roman"/>
      <w:sz w:val="20"/>
      <w:lang w:eastAsia="ru-RU"/>
    </w:rPr>
  </w:style>
  <w:style w:type="character" w:styleId="1000">
    <w:name w:val="annotation reference"/>
    <w:uiPriority w:val="99"/>
    <w:rPr>
      <w:rFonts w:cs="Times New Roman"/>
      <w:sz w:val="16"/>
      <w:szCs w:val="16"/>
    </w:rPr>
  </w:style>
  <w:style w:type="paragraph" w:styleId="1001">
    <w:name w:val="annotation text"/>
    <w:basedOn w:val="802"/>
    <w:link w:val="1003"/>
    <w:uiPriority w:val="99"/>
    <w:rPr>
      <w:sz w:val="20"/>
      <w:szCs w:val="20"/>
    </w:rPr>
  </w:style>
  <w:style w:type="paragraph" w:styleId="1002">
    <w:name w:val="annotation subject"/>
    <w:basedOn w:val="1001"/>
    <w:next w:val="1001"/>
    <w:link w:val="1005"/>
    <w:rPr>
      <w:b/>
      <w:bCs/>
    </w:rPr>
  </w:style>
  <w:style w:type="character" w:styleId="1003" w:customStyle="1">
    <w:name w:val="Текст примечания Знак"/>
    <w:link w:val="1001"/>
    <w:uiPriority w:val="99"/>
    <w:rPr>
      <w:rFonts w:eastAsia="Times New Roman" w:cs="Times New Roman"/>
      <w:lang w:eastAsia="en-US"/>
    </w:rPr>
  </w:style>
  <w:style w:type="paragraph" w:styleId="1004" w:customStyle="1">
    <w:name w:val="Colorful Shading - Accent 11"/>
    <w:hidden/>
    <w:uiPriority w:val="99"/>
    <w:semiHidden/>
    <w:rPr>
      <w:rFonts w:eastAsia="Times New Roman"/>
      <w:sz w:val="22"/>
      <w:szCs w:val="22"/>
      <w:lang w:eastAsia="en-US"/>
    </w:rPr>
  </w:style>
  <w:style w:type="character" w:styleId="1005" w:customStyle="1">
    <w:name w:val="Тема примечания Знак"/>
    <w:link w:val="1002"/>
    <w:rPr>
      <w:rFonts w:eastAsia="Times New Roman" w:cs="Times New Roman"/>
      <w:b/>
      <w:bCs/>
      <w:lang w:eastAsia="en-US"/>
    </w:rPr>
  </w:style>
  <w:style w:type="paragraph" w:styleId="1006" w:customStyle="1">
    <w:name w:val="ConsPlusNormal"/>
    <w:pPr>
      <w:widowControl w:val="off"/>
    </w:pPr>
    <w:rPr>
      <w:rFonts w:ascii="Arial" w:hAnsi="Arial" w:eastAsia="Times New Roman" w:cs="Arial"/>
    </w:rPr>
  </w:style>
  <w:style w:type="character" w:styleId="1007" w:customStyle="1">
    <w:name w:val="Заголовок 1 Знак"/>
    <w:link w:val="803"/>
    <w:uiPriority w:val="99"/>
    <w:rPr>
      <w:rFonts w:ascii="Times New Roman" w:hAnsi="Times New Roman" w:eastAsia="Times New Roman"/>
      <w:b/>
      <w:caps/>
      <w:sz w:val="32"/>
      <w:szCs w:val="36"/>
      <w:lang w:eastAsia="en-US"/>
    </w:rPr>
  </w:style>
  <w:style w:type="character" w:styleId="1008" w:customStyle="1">
    <w:name w:val="Заголовок 2 Знак"/>
    <w:link w:val="804"/>
    <w:uiPriority w:val="99"/>
    <w:rPr>
      <w:rFonts w:ascii="Times New Roman" w:hAnsi="Times New Roman" w:eastAsia="Times New Roman"/>
      <w:b/>
      <w:bCs/>
      <w:iCs/>
      <w:sz w:val="32"/>
      <w:szCs w:val="32"/>
      <w:lang w:eastAsia="en-US"/>
    </w:rPr>
  </w:style>
  <w:style w:type="character" w:styleId="1009" w:customStyle="1">
    <w:name w:val="Заголовок 3 Знак"/>
    <w:link w:val="805"/>
    <w:uiPriority w:val="99"/>
    <w:rPr>
      <w:rFonts w:ascii="Times New Roman" w:hAnsi="Times New Roman" w:eastAsia="Times New Roman"/>
      <w:b/>
      <w:iCs/>
      <w:sz w:val="28"/>
      <w:szCs w:val="26"/>
      <w:lang w:eastAsia="en-US"/>
    </w:rPr>
  </w:style>
  <w:style w:type="character" w:styleId="1010" w:customStyle="1">
    <w:name w:val="Заголовок 4 Знак"/>
    <w:link w:val="806"/>
    <w:uiPriority w:val="99"/>
    <w:rPr>
      <w:rFonts w:ascii="Times New Roman" w:hAnsi="Times New Roman" w:eastAsia="Times New Roman"/>
      <w:b/>
      <w:iCs/>
      <w:sz w:val="24"/>
      <w:szCs w:val="26"/>
      <w:lang w:eastAsia="en-US"/>
    </w:rPr>
  </w:style>
  <w:style w:type="character" w:styleId="1011" w:customStyle="1">
    <w:name w:val="_Текст+абзац Знак"/>
    <w:link w:val="1012"/>
    <w:rPr>
      <w:rFonts w:ascii="Times New Roman" w:hAnsi="Times New Roman"/>
      <w:spacing w:val="-2"/>
      <w:sz w:val="28"/>
      <w:szCs w:val="22"/>
      <w:lang w:val="ru-RU" w:eastAsia="en-US" w:bidi="ar-SA"/>
    </w:rPr>
  </w:style>
  <w:style w:type="paragraph" w:styleId="1012" w:customStyle="1">
    <w:name w:val="_Текст+абзац"/>
    <w:link w:val="1011"/>
    <w:pPr>
      <w:ind w:firstLine="567"/>
      <w:jc w:val="both"/>
      <w:spacing w:line="360" w:lineRule="auto"/>
    </w:pPr>
    <w:rPr>
      <w:rFonts w:ascii="Times New Roman" w:hAnsi="Times New Roman"/>
      <w:spacing w:val="-2"/>
      <w:sz w:val="28"/>
      <w:szCs w:val="22"/>
      <w:lang w:eastAsia="en-US"/>
    </w:rPr>
  </w:style>
  <w:style w:type="character" w:styleId="1013" w:customStyle="1">
    <w:name w:val="_EB_Normal Знак"/>
    <w:link w:val="1014"/>
    <w:rPr>
      <w:sz w:val="24"/>
      <w:szCs w:val="22"/>
      <w:lang w:val="ru-RU" w:eastAsia="ru-RU" w:bidi="ar-SA"/>
    </w:rPr>
  </w:style>
  <w:style w:type="paragraph" w:styleId="1014" w:customStyle="1">
    <w:name w:val="_EB_Normal"/>
    <w:link w:val="1013"/>
    <w:pPr>
      <w:contextualSpacing/>
      <w:ind w:firstLine="567"/>
      <w:jc w:val="both"/>
      <w:spacing w:before="120" w:after="60"/>
    </w:pPr>
    <w:rPr>
      <w:sz w:val="24"/>
      <w:szCs w:val="22"/>
    </w:rPr>
  </w:style>
  <w:style w:type="paragraph" w:styleId="1015" w:customStyle="1">
    <w:name w:val="_EB_Sign"/>
    <w:basedOn w:val="802"/>
    <w:pPr>
      <w:contextualSpacing/>
      <w:jc w:val="center"/>
      <w:keepNext/>
      <w:spacing w:before="120" w:after="120"/>
    </w:pPr>
    <w:rPr>
      <w:rFonts w:ascii="Times New Roman" w:hAnsi="Times New Roman"/>
      <w:b/>
      <w:sz w:val="28"/>
      <w:szCs w:val="20"/>
      <w:lang w:eastAsia="ru-RU"/>
    </w:rPr>
  </w:style>
  <w:style w:type="paragraph" w:styleId="1016">
    <w:name w:val="Body Text Indent 3"/>
    <w:basedOn w:val="802"/>
    <w:link w:val="1017"/>
    <w:uiPriority w:val="99"/>
    <w:semiHidden/>
    <w:pPr>
      <w:ind w:left="283" w:firstLine="567"/>
      <w:jc w:val="both"/>
      <w:spacing w:after="120"/>
    </w:pPr>
    <w:rPr>
      <w:rFonts w:ascii="Times New Roman" w:hAnsi="Times New Roman"/>
      <w:sz w:val="16"/>
      <w:szCs w:val="20"/>
    </w:rPr>
  </w:style>
  <w:style w:type="character" w:styleId="1017" w:customStyle="1">
    <w:name w:val="Основной текст с отступом 3 Знак"/>
    <w:link w:val="1016"/>
    <w:uiPriority w:val="99"/>
    <w:semiHidden/>
    <w:rPr>
      <w:rFonts w:ascii="Times New Roman" w:hAnsi="Times New Roman" w:eastAsia="Times New Roman"/>
      <w:sz w:val="16"/>
      <w:szCs w:val="20"/>
    </w:rPr>
  </w:style>
  <w:style w:type="paragraph" w:styleId="1018">
    <w:name w:val="Body Text"/>
    <w:basedOn w:val="802"/>
    <w:link w:val="1019"/>
    <w:uiPriority w:val="99"/>
    <w:semiHidden/>
    <w:pPr>
      <w:ind w:firstLine="567"/>
      <w:jc w:val="both"/>
      <w:spacing w:after="240"/>
    </w:pPr>
    <w:rPr>
      <w:rFonts w:ascii="Times New Roman" w:hAnsi="Times New Roman"/>
      <w:sz w:val="20"/>
      <w:szCs w:val="20"/>
    </w:rPr>
  </w:style>
  <w:style w:type="character" w:styleId="1019" w:customStyle="1">
    <w:name w:val="Основной текст Знак"/>
    <w:link w:val="1018"/>
    <w:uiPriority w:val="99"/>
    <w:semiHidden/>
    <w:rPr>
      <w:rFonts w:ascii="Times New Roman" w:hAnsi="Times New Roman" w:eastAsia="Times New Roman"/>
      <w:sz w:val="20"/>
      <w:szCs w:val="20"/>
    </w:rPr>
  </w:style>
  <w:style w:type="numbering" w:styleId="1020">
    <w:name w:val="Outline List 1"/>
    <w:basedOn w:val="814"/>
    <w:unhideWhenUsed/>
    <w:pPr>
      <w:numPr>
        <w:ilvl w:val="0"/>
        <w:numId w:val="2"/>
      </w:numPr>
    </w:pPr>
  </w:style>
  <w:style w:type="paragraph" w:styleId="1021" w:customStyle="1">
    <w:name w:val="Iau?iue"/>
    <w:rPr>
      <w:rFonts w:ascii="Times New Roman" w:hAnsi="Times New Roman" w:eastAsia="Times New Roman"/>
    </w:rPr>
  </w:style>
  <w:style w:type="paragraph" w:styleId="1022" w:customStyle="1">
    <w:name w:val="Iau?iue1"/>
    <w:pPr>
      <w:widowControl w:val="off"/>
    </w:pPr>
    <w:rPr>
      <w:rFonts w:ascii="Times New Roman" w:hAnsi="Times New Roman" w:eastAsia="Times New Roman"/>
    </w:rPr>
  </w:style>
  <w:style w:type="paragraph" w:styleId="1023" w:customStyle="1">
    <w:name w:val="Iniiaiie oaeno 2"/>
    <w:basedOn w:val="1021"/>
    <w:pPr>
      <w:ind w:firstLine="709"/>
      <w:jc w:val="both"/>
      <w:spacing w:after="120"/>
    </w:pPr>
    <w:rPr>
      <w:sz w:val="24"/>
    </w:rPr>
  </w:style>
  <w:style w:type="paragraph" w:styleId="1024">
    <w:name w:val="Footer"/>
    <w:basedOn w:val="802"/>
    <w:link w:val="1025"/>
    <w:unhideWhenUsed/>
    <w:pPr>
      <w:tabs>
        <w:tab w:val="center" w:pos="4677" w:leader="none"/>
        <w:tab w:val="right" w:pos="9355" w:leader="none"/>
      </w:tabs>
    </w:pPr>
  </w:style>
  <w:style w:type="character" w:styleId="1025" w:customStyle="1">
    <w:name w:val="Нижний колонтитул Знак1"/>
    <w:link w:val="1024"/>
    <w:rPr>
      <w:rFonts w:eastAsia="Times New Roman"/>
      <w:sz w:val="22"/>
      <w:szCs w:val="22"/>
      <w:lang w:eastAsia="en-US"/>
    </w:rPr>
  </w:style>
  <w:style w:type="paragraph" w:styleId="1026" w:customStyle="1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paragraph" w:styleId="1027">
    <w:name w:val="Normal (Web)"/>
    <w:basedOn w:val="802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1028" w:customStyle="1">
    <w:name w:val="Заг_Приложение"/>
    <w:basedOn w:val="803"/>
    <w:next w:val="1014"/>
    <w:uiPriority w:val="99"/>
    <w:pPr>
      <w:numPr>
        <w:ilvl w:val="0"/>
        <w:numId w:val="3"/>
      </w:numPr>
      <w:ind w:left="0" w:firstLine="0"/>
    </w:pPr>
  </w:style>
  <w:style w:type="paragraph" w:styleId="1029">
    <w:name w:val="Document Map"/>
    <w:basedOn w:val="802"/>
    <w:link w:val="1030"/>
    <w:uiPriority w:val="99"/>
    <w:semiHidden/>
    <w:unhideWhenUsed/>
    <w:rPr>
      <w:rFonts w:ascii="Tahoma" w:hAnsi="Tahoma"/>
      <w:sz w:val="16"/>
      <w:szCs w:val="16"/>
    </w:rPr>
  </w:style>
  <w:style w:type="character" w:styleId="1030" w:customStyle="1">
    <w:name w:val="Схема документа Знак"/>
    <w:link w:val="1029"/>
    <w:uiPriority w:val="99"/>
    <w:semiHidden/>
    <w:rPr>
      <w:rFonts w:ascii="Tahoma" w:hAnsi="Tahoma" w:eastAsia="Times New Roman" w:cs="Tahoma"/>
      <w:sz w:val="16"/>
      <w:szCs w:val="16"/>
      <w:lang w:eastAsia="en-US"/>
    </w:rPr>
  </w:style>
  <w:style w:type="paragraph" w:styleId="1031" w:customStyle="1">
    <w:name w:val="_GOST_Table_norm"/>
    <w:link w:val="1032"/>
    <w:pPr>
      <w:ind w:left="57" w:right="57"/>
      <w:jc w:val="both"/>
    </w:pPr>
    <w:rPr>
      <w:rFonts w:ascii="Times New Roman" w:hAnsi="Times New Roman" w:eastAsia="Times New Roman"/>
      <w:sz w:val="22"/>
    </w:rPr>
  </w:style>
  <w:style w:type="character" w:styleId="1032" w:customStyle="1">
    <w:name w:val="_GOST_Table_norm Знак"/>
    <w:link w:val="1031"/>
    <w:rPr>
      <w:rFonts w:ascii="Times New Roman" w:hAnsi="Times New Roman" w:eastAsia="Times New Roman"/>
      <w:sz w:val="22"/>
    </w:rPr>
  </w:style>
  <w:style w:type="paragraph" w:styleId="1033">
    <w:name w:val="List Paragraph"/>
    <w:basedOn w:val="802"/>
    <w:uiPriority w:val="34"/>
    <w:qFormat/>
    <w:pPr>
      <w:ind w:left="708"/>
    </w:pPr>
  </w:style>
  <w:style w:type="paragraph" w:styleId="1034">
    <w:name w:val="endnote text"/>
    <w:basedOn w:val="802"/>
    <w:link w:val="1035"/>
    <w:uiPriority w:val="99"/>
    <w:unhideWhenUsed/>
    <w:rPr>
      <w:sz w:val="20"/>
      <w:szCs w:val="20"/>
    </w:rPr>
  </w:style>
  <w:style w:type="character" w:styleId="1035" w:customStyle="1">
    <w:name w:val="Текст концевой сноски Знак"/>
    <w:link w:val="1034"/>
    <w:uiPriority w:val="99"/>
    <w:rPr>
      <w:rFonts w:eastAsia="Times New Roman"/>
      <w:lang w:eastAsia="en-US"/>
    </w:rPr>
  </w:style>
  <w:style w:type="character" w:styleId="1036">
    <w:name w:val="end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B128-B21B-4F4B-96F0-F0C04555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>DreamLair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ведения Реестра участников и неучастников бюджетного процесса</dc:title>
  <dc:subject/>
  <dc:creator>БЕРЁЗА НАДЕЖДА ВАСИЛЬЕВНА</dc:creator>
  <cp:keywords/>
  <cp:lastModifiedBy>Аноним</cp:lastModifiedBy>
  <cp:revision>21</cp:revision>
  <dcterms:created xsi:type="dcterms:W3CDTF">2025-10-14T06:55:00Z</dcterms:created>
  <dcterms:modified xsi:type="dcterms:W3CDTF">2025-10-17T10:15:10Z</dcterms:modified>
</cp:coreProperties>
</file>