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Id="R1" Type="http://schemas.openxmlformats.org/officeDocument/2006/relationships/officeDocument" Target="/word/document.xml" /><Relationship Id="coreR1" Type="http://schemas.openxmlformats.org/package/2006/relationships/metadata/core-properties" Target="/docProps/core.xml" /><Relationship Id="appR1" Type="http://schemas.openxmlformats.org/officeDocument/2006/relationships/extended-properties" Target="/docProps/app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xmlns:wpg="http://schemas.microsoft.com/office/word/2010/wordprocessingGroup" xmlns:wpc="http://schemas.microsoft.com/office/word/2010/wordprocessingCanvas" xmlns:w14="http://schemas.microsoft.com/office/word/2010/wordml" xmlns:w15="http://schemas.microsoft.com/office/word/2012/wordml" xmlns:cx1="http://schemas.microsoft.com/office/drawing/2015/9/8/chartex" xmlns:cx2="http://schemas.microsoft.com/office/drawing/2015/10/21/chartex" mc:Ignorable="wp14 w14 w15">
  <w:body>
    <w:p>
      <w:pPr>
        <w:widowControl w:val="1"/>
        <w:ind w:left="142" w:right="-142"/>
        <w:rPr>
          <w:color w:val="000000"/>
          <w:sz w:val="6"/>
          <w:szCs w:val="6"/>
          <w:lang w:val="en-US" w:bidi="ar-SA" w:eastAsia="ru-RU"/>
        </w:rPr>
      </w:pPr>
    </w:p>
    <w:p>
      <w:pPr>
        <w:widowControl w:val="1"/>
        <w:ind w:left="142" w:right="-142"/>
        <w:rPr>
          <w:sz w:val="6"/>
          <w:szCs w:val="6"/>
          <w:lang w:val="en-US" w:bidi="ar-SA" w:eastAsia="ru-RU"/>
        </w:rPr>
      </w:pPr>
    </w:p>
    <w:p>
      <w:pPr>
        <w:jc w:val="center"/>
        <w:rPr>
          <w:sz w:val="28"/>
          <w:szCs w:val="28"/>
          <w:lang w:val="en-US" w:bidi="ar-SA" w:eastAsia="ru-RU"/>
        </w:rPr>
      </w:pPr>
      <w:r>
        <w:rPr>
          <w:sz w:val="28"/>
          <w:szCs w:val="28"/>
        </w:rPr>
        <w:t xml:space="preserve">Информация </w:t>
      </w:r>
    </w:p>
    <w:p>
      <w:pPr>
        <w:jc w:val="center"/>
        <w:rPr>
          <w:sz w:val="28"/>
          <w:szCs w:val="28"/>
          <w:lang w:val="ru-RU" w:bidi="ru-RU" w:eastAsia="ru-RU"/>
        </w:rPr>
      </w:pPr>
      <w:r>
        <w:rPr>
          <w:sz w:val="28"/>
          <w:szCs w:val="28"/>
        </w:rPr>
        <w:t>о проведении отбора заявок кредитных организаций</w:t>
      </w:r>
      <w:r>
        <w:rPr>
          <w:sz w:val="28"/>
          <w:szCs w:val="28"/>
          <w:lang w:val="ru-RU" w:bidi="ru-RU" w:eastAsia="ru-RU"/>
        </w:rPr>
        <w:t xml:space="preserve"> </w:t>
      </w:r>
    </w:p>
    <w:p>
      <w:pPr>
        <w:tabs>
          <w:tab w:val="left" w:pos="-1044" w:leader="none"/>
        </w:tabs>
        <w:ind w:right="-41"/>
        <w:jc w:val="center"/>
        <w:rPr>
          <w:sz w:val="28"/>
          <w:szCs w:val="28"/>
        </w:rPr>
      </w:pPr>
      <w:r>
        <w:rPr>
          <w:sz w:val="28"/>
          <w:szCs w:val="28"/>
        </w:rPr>
        <w:t>на заключение</w:t>
      </w:r>
      <w:r>
        <w:rPr>
          <w:sz w:val="28"/>
          <w:szCs w:val="28"/>
          <w:lang w:val="en-US" w:bidi="en-US" w:eastAsia="en-US"/>
        </w:rPr>
        <w:t xml:space="preserve"> </w:t>
      </w:r>
      <w:r>
        <w:rPr>
          <w:sz w:val="28"/>
          <w:szCs w:val="28"/>
        </w:rPr>
        <w:t>договоров банковского депозита</w:t>
      </w:r>
    </w:p>
    <w:tbl>
      <w:tblPr>
        <w:tblW w:w="9286" w:type="dxa"/>
        <w:tblInd w:w="0" w:type="dxa"/>
        <w:tblBorders>
          <w:top w:val="single" w:sz="4" w:space="0" w:shadow="0" w:frame="0" w:color="000000"/>
          <w:left w:val="single" w:sz="4" w:space="0" w:shadow="0" w:frame="0" w:color="000000"/>
          <w:bottom w:val="single" w:sz="4" w:space="0" w:shadow="0" w:frame="0" w:color="000000"/>
          <w:right w:val="single" w:sz="4" w:space="0" w:shadow="0" w:frame="0" w:color="000000"/>
          <w:insideH w:val="single" w:sz="4" w:space="0" w:shadow="0" w:frame="0" w:color="000000"/>
          <w:insideV w:val="single" w:sz="4" w:space="0" w:shadow="0" w:frame="0" w:color="000000"/>
        </w:tblBorders>
        <w:tblLayout w:type="fixed"/>
        <w:tblLook w:val="00A0"/>
      </w:tblPr>
      <w:tblGrid>
        <w:gridCol w:w="6431"/>
        <w:gridCol w:w="2855"/>
      </w:tblGrid>
      <w:tr>
        <w:trPr>
          <w:cantSplit/>
          <w:trHeight w:hRule="atLeast" w:val="374"/>
        </w:trPr>
        <w:tc>
          <w:tcPr>
            <w:tcW w:w="9286" w:type="dxa"/>
            <w:gridSpan w:val="2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Параметры отбора заявок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tabs>
                <w:tab w:val="left" w:pos="-1044" w:leader="none"/>
              </w:tabs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 проведения отбора заявок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 w:bidi="en-US" w:eastAsia="en-US"/>
              </w:rPr>
              <w:t>27.08.2026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Уникальный идентификатор отбора заявок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22026390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Валюта депозита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рубли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Вид средств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средства единого казначейского счёта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Максимальный размер средств, размещаемых на банковские депозиты, млн. денежных единиц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50 000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 размещения</w:t>
            </w:r>
            <w:r>
              <w:rPr>
                <w:sz w:val="28"/>
                <w:szCs w:val="28"/>
                <w:lang w:val="en-US" w:bidi="ar-SA" w:eastAsia="ru-RU"/>
              </w:rPr>
              <w:t xml:space="preserve">, </w:t>
            </w:r>
            <w:r>
              <w:rPr>
                <w:sz w:val="28"/>
                <w:szCs w:val="28"/>
              </w:rPr>
              <w:t>в днях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84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 внесения средств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27.08.2026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 возврата средств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19.11.2026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Процентная ставка размещения средств (фиксированная или плавающая)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FLOATING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Минимальная фиксированная процентная ставка размещения средств, % годовых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-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Базовая плавающая процентная ставка</w:t>
            </w:r>
            <w:r>
              <w:rPr>
                <w:sz w:val="28"/>
                <w:szCs w:val="28"/>
                <w:lang w:val="ru-RU" w:bidi="ru-RU" w:eastAsia="ru-RU"/>
              </w:rPr>
              <w:t xml:space="preserve"> </w:t>
            </w:r>
            <w:r>
              <w:rPr>
                <w:sz w:val="28"/>
                <w:szCs w:val="28"/>
              </w:rPr>
              <w:t>размещения</w:t>
            </w:r>
            <w:r>
              <w:rPr>
                <w:sz w:val="28"/>
                <w:szCs w:val="28"/>
                <w:lang w:val="ru-RU" w:bidi="ru-RU" w:eastAsia="ru-RU"/>
              </w:rPr>
              <w:t xml:space="preserve"> </w:t>
            </w:r>
            <w:r>
              <w:rPr>
                <w:sz w:val="28"/>
                <w:szCs w:val="28"/>
              </w:rPr>
              <w:t>средств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RUONmDS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Минимальный спред, % годовых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0,00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Условия заключения договора банковского депозита (срочный, пополняемый или особый)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Срочный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Минимальный размер размещаемых средств для одной заявки, млн. денежных единиц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1 000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Максимальное количество заявок от одной кредитной организации, шт.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2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Условия о зачете взаимных обязательств по договорам банковского депозита, договорам репо и договорам займа ценных бумаг (с зачетом взаимных обязательств или без зачета)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с зачетом взаимных обязательств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Форма отбора заявок</w:t>
            </w:r>
            <w:r>
              <w:rPr>
                <w:sz w:val="28"/>
                <w:szCs w:val="28"/>
                <w:lang w:val="ru-RU" w:bidi="ru-RU" w:eastAsia="ru-RU"/>
              </w:rPr>
              <w:t>,</w:t>
            </w:r>
            <w:r>
              <w:rPr>
                <w:sz w:val="28"/>
                <w:szCs w:val="28"/>
              </w:rPr>
              <w:t xml:space="preserve"> (открытая или закрытая)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Открытая</w:t>
            </w:r>
          </w:p>
        </w:tc>
      </w:tr>
      <w:tr>
        <w:trPr>
          <w:cantSplit/>
          <w:trHeight w:hRule="atLeast" w:val="374"/>
        </w:trPr>
        <w:tc>
          <w:tcPr>
            <w:tcW w:w="9286" w:type="dxa"/>
            <w:gridSpan w:val="2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Расписание отбора заявок (по московскому времени)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Место проведения отбора заявок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 w:bidi="en-US" w:eastAsia="en-US"/>
              </w:rPr>
              <w:t>АО СПВБ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Прием заявок: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с 10:00 по 10:20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 w:bidi="en-US" w:eastAsia="en-US"/>
              </w:rPr>
              <w:t>*</w:t>
            </w:r>
            <w:r>
              <w:rPr>
                <w:sz w:val="28"/>
                <w:szCs w:val="28"/>
              </w:rPr>
              <w:t>Заявки в предварительном режиме: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с 10:00 по 10:05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 w:bidi="en-US" w:eastAsia="en-US"/>
              </w:rPr>
              <w:t>*</w:t>
            </w:r>
            <w:r>
              <w:rPr>
                <w:sz w:val="28"/>
                <w:szCs w:val="28"/>
              </w:rPr>
              <w:t>Заявки в режиме конкуренции: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с 10:15 по 10:20***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**Временной интервал окончания приема заявок (секунд):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-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***Период продления (секунд):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60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***Шаг ставки: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0,10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***Завершение периодов продления: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10:30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Формирование сводного реестра заявок: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с 10:30 по 11:00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Установление процентной ставки отсечения и признание отбора заявок состоявшимся</w:t>
            </w:r>
            <w:r>
              <w:rPr>
                <w:sz w:val="28"/>
                <w:szCs w:val="28"/>
                <w:lang w:val="ru-RU" w:bidi="ru-RU" w:eastAsia="ru-RU"/>
              </w:rPr>
              <w:t xml:space="preserve"> или </w:t>
            </w:r>
            <w:r>
              <w:rPr>
                <w:sz w:val="28"/>
                <w:szCs w:val="28"/>
              </w:rPr>
              <w:t>несостоявшимся: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с 10:30 по 11:10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Формирование сводного реестра договоров банковского депозита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с 11:10 по 11:30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Сведения о проведении расчетов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совместное проведение расчетов по договорам банковского депозита, договорам репо и договорам займа ценных бумаг в соответствии с документами клиринговой организации</w:t>
            </w:r>
          </w:p>
        </w:tc>
      </w:tr>
      <w:tr>
        <w:trPr>
          <w:cantSplit/>
          <w:trHeight w:hRule="atLeast" w:val="374"/>
        </w:trPr>
        <w:tc>
          <w:tcPr>
            <w:tcW w:w="9286" w:type="dxa"/>
            <w:gridSpan w:val="2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Результаты отбора заявок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Процентная ставка отсечения, % годовых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1,03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Общий объем направленных заявок, млн. денежных единиц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 xml:space="preserve"> 215 519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Общий объем средств в подлежащих удовлетворению заявках, млн. денежных единиц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50 000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Общий объем средств по заключенным договорам банковского депозита, млн. денежных единиц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50 000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Средневзвешенная процентная ставка размещения средств по подлежащим удовлетворению заявкам, % годовых (фиксированная или спред)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1,03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Минимальная процентная ставка в направленных заявках, % годовых (фиксированная или спред)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0,00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Максимальная процентная ставка в направленных заявках, % годовых (фиксированная или спред)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1,03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8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кредитных организаций, заявки которых удовлетворены, шт.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1</w:t>
            </w:r>
          </w:p>
        </w:tc>
      </w:tr>
    </w:tbl>
    <w:p>
      <w:pPr>
        <w:shd w:val="clear" w:fill="FFFFFF"/>
        <w:ind w:right="143"/>
        <w:jc w:val="both"/>
        <w:rPr>
          <w:color w:val="2F343D"/>
          <w:sz w:val="28"/>
          <w:szCs w:val="28"/>
          <w:lang w:val="en-US" w:bidi="en-US" w:eastAsia="en-US"/>
        </w:rPr>
      </w:pPr>
      <w:bookmarkStart w:id="0" w:name="_dx_frag_StartFragment"/>
      <w:bookmarkEnd w:id="0"/>
    </w:p>
    <w:p>
      <w:pPr>
        <w:shd w:val="clear" w:fill="FFFFFF"/>
        <w:ind w:right="143"/>
        <w:jc w:val="both"/>
        <w:rPr>
          <w:color w:val="2F343D"/>
          <w:sz w:val="28"/>
          <w:szCs w:val="28"/>
        </w:rPr>
      </w:pPr>
      <w:r>
        <w:rPr>
          <w:color w:val="2F343D"/>
          <w:sz w:val="28"/>
          <w:szCs w:val="28"/>
          <w:shd w:val="clear" w:color="auto" w:fill="FFFFFF"/>
          <w:lang w:val="en-US" w:bidi="en-US" w:eastAsia="en-US"/>
        </w:rPr>
        <w:t xml:space="preserve">* </w:t>
      </w:r>
      <w:r>
        <w:rPr>
          <w:color w:val="2F343D"/>
          <w:sz w:val="28"/>
          <w:szCs w:val="28"/>
          <w:shd w:val="clear" w:color="auto" w:fill="FFFFFF"/>
        </w:rPr>
        <w:t>для открытой формы проведения отбора заявок кредитных организаций на заключение договоров банковского депозита</w:t>
      </w:r>
      <w:r>
        <w:rPr>
          <w:color w:val="2F343D"/>
          <w:sz w:val="28"/>
          <w:szCs w:val="28"/>
          <w:shd w:val="clear" w:color="auto" w:fill="FFFFFF"/>
          <w:lang w:val="ru-RU" w:bidi="ru-RU" w:eastAsia="ru-RU"/>
        </w:rPr>
        <w:t>;</w:t>
      </w:r>
    </w:p>
    <w:p>
      <w:pPr>
        <w:shd w:val="clear" w:fill="FFFFFF"/>
        <w:ind w:right="143"/>
        <w:jc w:val="both"/>
        <w:rPr>
          <w:color w:val="2F343D"/>
          <w:sz w:val="28"/>
          <w:szCs w:val="28"/>
        </w:rPr>
      </w:pPr>
      <w:r>
        <w:rPr>
          <w:color w:val="2F343D"/>
          <w:sz w:val="28"/>
          <w:szCs w:val="28"/>
          <w:shd w:val="clear" w:color="auto" w:fill="FFFFFF"/>
        </w:rPr>
        <w:t>** время окончания приема заявок кредитных организаций на заключение договоров банковского депозита устанавливается в рамках временного интервала и определяется информационными программно-техническими средствами биржи произвольно, в пределах установленного временного интервала</w:t>
      </w:r>
      <w:r>
        <w:rPr>
          <w:color w:val="2F343D"/>
          <w:sz w:val="28"/>
          <w:szCs w:val="28"/>
          <w:shd w:val="clear" w:color="auto" w:fill="FFFFFF"/>
          <w:lang w:val="ru-RU" w:bidi="ru-RU" w:eastAsia="ru-RU"/>
        </w:rPr>
        <w:t>;</w:t>
      </w:r>
    </w:p>
    <w:p>
      <w:pPr>
        <w:shd w:val="clear" w:fill="FFFFFF"/>
        <w:ind w:right="143"/>
        <w:jc w:val="both"/>
        <w:rPr>
          <w:sz w:val="16"/>
          <w:szCs w:val="16"/>
          <w:lang w:val="en-US" w:bidi="ar-SA" w:eastAsia="ru-RU"/>
        </w:rPr>
      </w:pPr>
      <w:r>
        <w:rPr>
          <w:color w:val="2F343D"/>
          <w:sz w:val="28"/>
          <w:szCs w:val="28"/>
          <w:shd w:val="clear" w:color="auto" w:fill="FFFFFF"/>
        </w:rPr>
        <w:t>*** время окончания приема заявок кредитных организаций на заключение договоров банковского депозита и формирования сводного реестра заявок может быть увеличено в случае установления параметров продления времени приема заявок кредитных организаций на заключение договоров банковского депозита</w:t>
      </w:r>
      <w:r>
        <w:rPr>
          <w:color w:val="2F343D"/>
          <w:sz w:val="28"/>
          <w:szCs w:val="28"/>
          <w:shd w:val="clear" w:color="auto" w:fill="FFFFFF"/>
          <w:lang w:val="ru-RU" w:bidi="ru-RU" w:eastAsia="ru-RU"/>
        </w:rPr>
        <w:t>.</w:t>
      </w:r>
    </w:p>
    <w:p>
      <w:pPr>
        <w:shd w:val="clear" w:fill="FFFFFF"/>
        <w:ind w:right="143"/>
        <w:jc w:val="both"/>
        <w:rPr>
          <w:sz w:val="28"/>
          <w:szCs w:val="28"/>
        </w:rPr>
      </w:pPr>
    </w:p>
    <w:p>
      <w:pPr>
        <w:widowControl w:val="1"/>
        <w:ind w:firstLine="708" w:right="143"/>
        <w:jc w:val="both"/>
        <w:rPr>
          <w:color w:val="2F343D"/>
          <w:sz w:val="28"/>
          <w:szCs w:val="28"/>
        </w:rPr>
      </w:pPr>
      <w:r>
        <w:rPr>
          <w:color w:val="2F343D"/>
          <w:sz w:val="28"/>
          <w:szCs w:val="28"/>
          <w:shd w:val="clear" w:color="auto" w:fill="FFFFFF"/>
        </w:rPr>
        <w:t xml:space="preserve">RUONmDS = RUONIA - DS, </w:t>
      </w:r>
    </w:p>
    <w:p>
      <w:pPr>
        <w:widowControl w:val="1"/>
        <w:ind w:firstLine="708" w:right="143"/>
        <w:jc w:val="both"/>
        <w:rPr>
          <w:color w:val="2F343D"/>
          <w:sz w:val="28"/>
          <w:szCs w:val="28"/>
        </w:rPr>
      </w:pPr>
      <w:r>
        <w:rPr>
          <w:color w:val="2F343D"/>
          <w:sz w:val="28"/>
          <w:szCs w:val="28"/>
          <w:shd w:val="clear" w:color="auto" w:fill="FFFFFF"/>
        </w:rPr>
        <w:t>где RUONIA - выраженное в сотых долях процентов значение индикативной взвешенной ставки однодневных рублевых кредитов (депозитов) RUONIA, опубликованной на официальном сайте Банка России в сети Интернет в день, предшествующий дню, за который начисляются проценты. В случае отсутствия в день, предшествующий дню, за который начисляются проценты, публикации значения ставки RUONIA, в расчет принимается последнее из опубликованных значений ставки RUONIA.</w:t>
      </w:r>
    </w:p>
    <w:p>
      <w:pPr>
        <w:widowControl w:val="1"/>
        <w:ind w:firstLine="708" w:right="143"/>
        <w:jc w:val="both"/>
        <w:rPr>
          <w:color w:val="2F343D"/>
          <w:sz w:val="28"/>
          <w:szCs w:val="28"/>
        </w:rPr>
      </w:pPr>
      <w:r>
        <w:rPr>
          <w:color w:val="2F343D"/>
          <w:sz w:val="28"/>
          <w:szCs w:val="28"/>
          <w:shd w:val="clear" w:color="auto" w:fill="FFFFFF"/>
        </w:rPr>
        <w:t>DS - дисконт - выраженное в сотых долях процентов и округленное (по правилам математического округления) до двух знаков после запятой значение, рассчитываемое умножением значения Ключевой ставки Банка России на значение норматива обязательных резервов по иным обязательствам кредитных организаций для банков с универсальной лицензией, небанковских кредитных организаций (за исключением долгосрочных) в валюте Российской Федерации, действующих на дату, за которую начисляются проценты, и опубликованных на официальном сайте Банка России в сети Интернет.</w:t>
      </w:r>
      <w:bookmarkStart w:id="1" w:name="_dx_frag_EndFragment"/>
      <w:bookmarkEnd w:id="1"/>
    </w:p>
    <w:p>
      <w:pPr>
        <w:widowControl w:val="1"/>
        <w:ind w:right="143"/>
        <w:jc w:val="both"/>
        <w:rPr>
          <w:sz w:val="16"/>
          <w:szCs w:val="16"/>
        </w:rPr>
      </w:pPr>
    </w:p>
    <w:sectPr>
      <w:type w:val="nextPage"/>
      <w:pgSz w:w="11906" w:h="16838" w:code="0"/>
      <w:pgMar w:left="1700" w:right="850" w:top="818" w:bottom="713" w:header="709" w:footer="709" w:gutter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0"/>
  <w:doNotTrackMoves/>
  <w:defaultTabStop w:val="708"/>
  <w:autoHyphenation w:val="0"/>
  <w:evenAndOddHeaders w:val="0"/>
  <w:characterSpacingControl w:val="doNotCompress"/>
  <w:compat>
    <w:splitPgBreakAndParaMark/>
    <w:growAutofit/>
    <w:doNotVertAlignCellWithSp/>
    <w:useWord2002TableStyleRules/>
    <w:compatSetting w:name="compatibilityMode" w:uri="http://schemas.microsoft.com/office/word" w:val="12"/>
  </w:compat>
  <m:mathPr xmlns:m="http://schemas.openxmlformats.org/officeDocument/2006/math">
    <m:brkBin m:val="before"/>
    <m:brkBinSub m:val="--"/>
    <m:defJc m:val="centerGroup"/>
    <m:dispDef/>
    <m:interSp m:val="0"/>
    <m:intLim m:val="subSup"/>
    <m:intraSp m:val="0"/>
    <m:lMargin m:val="0"/>
    <m:mathFont m:val="Cambria Math"/>
    <m:naryLim m:val="undOvr"/>
    <m:postSp m:val="0"/>
    <m:preSp m:val="0"/>
    <m:rMargin m:val="0"/>
    <m:wrapIndent m:val="1440"/>
    <m:wrapRight m:val="0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="Times New Roman"/>
        <w:sz w:val="20"/>
        <w:szCs w:val="20"/>
      </w:rPr>
    </w:rPrDefault>
    <w:pPrDefault>
      <w:pPr>
        <w:keepNext w:val="0"/>
        <w:keepLines w:val="0"/>
        <w:pageBreakBefore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bidi w:val="0"/>
        <w:jc w:val="left"/>
        <w:outlineLvl w:val="9"/>
      </w:pPr>
    </w:pPrDefault>
  </w:docDefaults>
  <w:style w:type="paragraph" w:styleId="P0" w:default="1">
    <w:name w:val="Normal"/>
    <w:next w:val="P0"/>
    <w:qFormat/>
    <w:pPr>
      <w:widowControl w:val="0"/>
    </w:pPr>
    <w:rPr>
      <w:sz w:val="24"/>
      <w:szCs w:val="24"/>
      <w:lang w:val="ru-RU" w:bidi="ar-SA" w:eastAsia="ru-RU"/>
    </w:rPr>
  </w:style>
  <w:style w:type="paragraph" w:styleId="P1">
    <w:name w:val="Body Text Indent"/>
    <w:basedOn w:val="P0"/>
    <w:next w:val="P1"/>
    <w:link w:val="C3"/>
    <w:pPr>
      <w:spacing w:after="120"/>
      <w:ind w:left="283"/>
    </w:pPr>
    <w:rPr>
      <w:sz w:val="20"/>
      <w:szCs w:val="20"/>
    </w:rPr>
  </w:style>
  <w:style w:type="paragraph" w:styleId="P2">
    <w:name w:val="ConsNonformat"/>
    <w:basedOn w:val="P0"/>
    <w:next w:val="P2"/>
    <w:pPr>
      <w:ind w:right="19772"/>
    </w:pPr>
    <w:rPr>
      <w:rFonts w:ascii="Courier New" w:hAnsi="Courier New" w:cs="Courier New"/>
      <w:sz w:val="20"/>
      <w:szCs w:val="20"/>
    </w:rPr>
  </w:style>
  <w:style w:type="paragraph" w:styleId="P3">
    <w:name w:val="ConsTitle"/>
    <w:basedOn w:val="P0"/>
    <w:next w:val="P3"/>
    <w:pPr>
      <w:ind w:right="19772"/>
    </w:pPr>
    <w:rPr>
      <w:rFonts w:ascii="Arial" w:hAnsi="Arial" w:cs="Arial"/>
      <w:b w:val="1"/>
      <w:bCs w:val="1"/>
      <w:sz w:val="20"/>
      <w:szCs w:val="20"/>
    </w:rPr>
  </w:style>
  <w:style w:type="paragraph" w:styleId="P4">
    <w:name w:val="Body Text"/>
    <w:basedOn w:val="P0"/>
    <w:next w:val="P4"/>
    <w:link w:val="C4"/>
    <w:pPr>
      <w:spacing w:after="120"/>
    </w:pPr>
    <w:rPr/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basedOn w:val="C0"/>
    <w:rPr>
      <w:color w:val="0000FF"/>
      <w:sz w:val="24"/>
      <w:szCs w:val="24"/>
      <w:u w:val="single"/>
    </w:rPr>
  </w:style>
  <w:style w:type="character" w:styleId="C3">
    <w:name w:val="???????? ????? ? ???????? ????"/>
    <w:basedOn w:val="C0"/>
    <w:link w:val="P1"/>
    <w:rPr>
      <w:sz w:val="24"/>
      <w:szCs w:val="24"/>
    </w:rPr>
  </w:style>
  <w:style w:type="character" w:styleId="C4">
    <w:name w:val="???????? ????? ????"/>
    <w:basedOn w:val="C0"/>
    <w:link w:val="P4"/>
    <w:rPr>
      <w:sz w:val="24"/>
      <w:szCs w:val="24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pPr>
      <w:widowControl w:val="0"/>
    </w:pPr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bottom w:w="0" w:type="dxa"/>
      </w:tblCellMar>
    </w:tblPr>
    <w:trPr/>
    <w:tcPr/>
  </w:style>
  <w:style w:type="table" w:styleId="T2">
    <w:name w:val="Table Grid"/>
    <w:basedOn w:val="T0"/>
    <w:pPr>
      <w:widowControl w:val="0"/>
    </w:pPr>
    <w:rPr>
      <w:lang w:val="ru-RU" w:bidi="ar-SA" w:eastAsia="ru-RU"/>
    </w:rPr>
    <w:tblPr>
      <w:tblInd w:w="0" w:type="dxa"/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</w:tblPr>
    <w:trPr>
      <w:wBefore w:w="0" w:type="dxa"/>
    </w:trPr>
    <w:tcPr/>
  </w:style>
</w:styles>
</file>

<file path=word/_rels/document.xml.rels>&#65279;<?xml version="1.0" encoding="utf-8"?><Relationships xmlns="http://schemas.openxmlformats.org/package/2006/relationships"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Relationship Id="RelTheme1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</a:theme>
</file>

<file path=docProps/app.xml><?xml version="1.0" encoding="utf-8"?>
<Properties xmlns="http://schemas.openxmlformats.org/officeDocument/2006/extended-properties">
  <Company>Administraciy</Company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User1</dc:creator>
  <dcterms:created xsi:type="dcterms:W3CDTF">2014-11-11T05:40:00Z</dcterms:created>
  <cp:lastModifiedBy>Львов Андрей Станиславович</cp:lastModifiedBy>
  <cp:lastPrinted>2012-05-18T13:38:00Z</cp:lastPrinted>
  <dcterms:modified xsi:type="dcterms:W3CDTF">2014-11-11T11:11:00Z</dcterms:modified>
  <cp:revision>20</cp:revision>
  <dc:title>ЯМАЛО-НЕНЕЦКИЙ АВТОНОМНЫЙ ОКРУГ</dc:title>
</cp:coreProperties>
</file>