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widowControl w:val="1"/>
        <w:ind w:left="142" w:right="-142"/>
        <w:rPr>
          <w:color w:val="000000"/>
          <w:sz w:val="6"/>
          <w:szCs w:val="6"/>
          <w:lang w:val="en-US" w:bidi="ar-SA" w:eastAsia="ru-RU"/>
        </w:rPr>
      </w:pPr>
    </w:p>
    <w:p>
      <w:pPr>
        <w:widowControl w:val="1"/>
        <w:ind w:left="142" w:right="-142"/>
        <w:rPr>
          <w:sz w:val="6"/>
          <w:szCs w:val="6"/>
          <w:lang w:val="en-US" w:bidi="ar-SA" w:eastAsia="ru-RU"/>
        </w:rPr>
      </w:pPr>
    </w:p>
    <w:p>
      <w:pPr>
        <w:jc w:val="center"/>
        <w:rPr>
          <w:sz w:val="28"/>
          <w:szCs w:val="28"/>
          <w:lang w:val="en-US" w:bidi="ar-SA" w:eastAsia="ru-RU"/>
        </w:rPr>
      </w:pPr>
      <w:r>
        <w:rPr>
          <w:sz w:val="28"/>
          <w:szCs w:val="28"/>
        </w:rPr>
        <w:t xml:space="preserve">Информация </w:t>
      </w:r>
    </w:p>
    <w:p>
      <w:pPr>
        <w:jc w:val="center"/>
        <w:rPr>
          <w:sz w:val="28"/>
          <w:szCs w:val="28"/>
          <w:lang w:val="ru-RU" w:bidi="ru-RU" w:eastAsia="ru-RU"/>
        </w:rPr>
      </w:pPr>
      <w:r>
        <w:rPr>
          <w:sz w:val="28"/>
          <w:szCs w:val="28"/>
        </w:rPr>
        <w:t>о проведении отбора заявок кредитных организаций</w:t>
      </w:r>
      <w:r>
        <w:rPr>
          <w:sz w:val="28"/>
          <w:szCs w:val="28"/>
          <w:lang w:val="ru-RU" w:bidi="ru-RU" w:eastAsia="ru-RU"/>
        </w:rPr>
        <w:t xml:space="preserve"> </w:t>
      </w:r>
    </w:p>
    <w:p>
      <w:pPr>
        <w:tabs>
          <w:tab w:val="left" w:pos="-1044" w:leader="none"/>
        </w:tabs>
        <w:ind w:right="-41"/>
        <w:jc w:val="center"/>
        <w:rPr>
          <w:sz w:val="28"/>
          <w:szCs w:val="28"/>
        </w:rPr>
      </w:pPr>
      <w:r>
        <w:rPr>
          <w:sz w:val="28"/>
          <w:szCs w:val="28"/>
        </w:rPr>
        <w:t>на заключение</w:t>
      </w:r>
      <w:r>
        <w:rPr>
          <w:sz w:val="28"/>
          <w:szCs w:val="28"/>
          <w:lang w:val="en-US" w:bidi="en-US" w:eastAsia="en-US"/>
        </w:rPr>
        <w:t xml:space="preserve"> </w:t>
      </w:r>
      <w:r>
        <w:rPr>
          <w:sz w:val="28"/>
          <w:szCs w:val="28"/>
        </w:rPr>
        <w:t>договоров банковского депозита</w:t>
      </w:r>
    </w:p>
    <w:tbl>
      <w:tblPr>
        <w:tblW w:w="9286" w:type="dxa"/>
        <w:tblInd w:w="0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0A0"/>
      </w:tblPr>
      <w:tblGrid>
        <w:gridCol w:w="6431"/>
        <w:gridCol w:w="2855"/>
      </w:tblGrid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отбора заявок</w:t>
            </w:r>
          </w:p>
        </w:tc>
      </w:tr>
      <w:tr>
        <w:trPr>
          <w:cantSplit/>
          <w:trHeight w:hRule="atLeast" w:val="374"/>
        </w:trPr>
        <w:tc>
          <w:tcPr>
            <w:tcW w:w="640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-1044" w:leader="none"/>
              </w:tabs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отбора заявок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0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Уникальный идентификатор отбора заявок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0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Валюта депозита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0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средств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0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Максимальный размер средств, размещаемых на банковские депозиты, млн. денежных единиц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0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размещения</w:t>
            </w:r>
            <w:r>
              <w:rPr>
                <w:sz w:val="28"/>
                <w:szCs w:val="28"/>
                <w:lang w:val="en-US" w:bidi="ar-SA" w:eastAsia="ru-RU"/>
              </w:rPr>
              <w:t xml:space="preserve">, </w:t>
            </w:r>
            <w:r>
              <w:rPr>
                <w:sz w:val="28"/>
                <w:szCs w:val="28"/>
              </w:rPr>
              <w:t>в днях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0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внесения средств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0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возврата средств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Процентная ставка размещения средств (фиксированная или плавающая)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Минимальная фиксированная процентная ставка размещения средств, % годовых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Базовая плавающая процентная ставка</w:t>
            </w:r>
            <w:r>
              <w:rPr>
                <w:sz w:val="28"/>
                <w:szCs w:val="28"/>
                <w:lang w:val="ru-RU" w:bidi="ru-RU" w:eastAsia="ru-RU"/>
              </w:rPr>
              <w:t xml:space="preserve"> </w:t>
            </w:r>
            <w:r>
              <w:rPr>
                <w:sz w:val="28"/>
                <w:szCs w:val="28"/>
              </w:rPr>
              <w:t>размещения</w:t>
            </w:r>
            <w:r>
              <w:rPr>
                <w:sz w:val="28"/>
                <w:szCs w:val="28"/>
                <w:lang w:val="ru-RU" w:bidi="ru-RU" w:eastAsia="ru-RU"/>
              </w:rPr>
              <w:t xml:space="preserve"> </w:t>
            </w:r>
            <w:r>
              <w:rPr>
                <w:sz w:val="28"/>
                <w:szCs w:val="28"/>
              </w:rPr>
              <w:t>средств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Минимальный спред, % годовых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заключения договора банковского депозита (срочный, пополняемый или особый)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Минимальный размер размещаемых средств для одной заявки, млн. денежных единиц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Максимальное количество заявок от одной кредитной организации, шт.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отбора заявок</w:t>
            </w:r>
            <w:r>
              <w:rPr>
                <w:sz w:val="28"/>
                <w:szCs w:val="28"/>
                <w:lang w:val="ru-RU" w:bidi="ru-RU" w:eastAsia="ru-RU"/>
              </w:rPr>
              <w:t>,</w:t>
            </w:r>
            <w:r>
              <w:rPr>
                <w:sz w:val="28"/>
                <w:szCs w:val="28"/>
              </w:rPr>
              <w:t xml:space="preserve"> (открытая или закрытая)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Расписание отбора заявок (по московскому времени)</w:t>
            </w: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 отбора заявок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заявок: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bidi="en-US" w:eastAsia="en-US"/>
              </w:rPr>
              <w:t>*</w:t>
            </w:r>
            <w:r>
              <w:rPr>
                <w:sz w:val="28"/>
                <w:szCs w:val="28"/>
              </w:rPr>
              <w:t>Заявки в предварительном режиме: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bidi="en-US" w:eastAsia="en-US"/>
              </w:rPr>
              <w:t>*</w:t>
            </w:r>
            <w:r>
              <w:rPr>
                <w:sz w:val="28"/>
                <w:szCs w:val="28"/>
              </w:rPr>
              <w:t>Заявки в режиме конкуренции: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**Временной интервал окончания приема заявок (секунд):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***Период продления (секунд):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***Шаг ставки: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***Завершение периодов продления: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сводного реестра заявок: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Установление процентной ставки отсечения и признание отбора заявок состоявшимся</w:t>
            </w:r>
            <w:r>
              <w:rPr>
                <w:sz w:val="28"/>
                <w:szCs w:val="28"/>
                <w:lang w:val="ru-RU" w:bidi="ru-RU" w:eastAsia="ru-RU"/>
              </w:rPr>
              <w:t xml:space="preserve"> или </w:t>
            </w:r>
            <w:r>
              <w:rPr>
                <w:sz w:val="28"/>
                <w:szCs w:val="28"/>
              </w:rPr>
              <w:t>несостоявшимся: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сводного реестра договоров банковского депозита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проведении расчетов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отбора заявок</w:t>
            </w: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Процентная ставка отсечения, % годовых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направленных заявок, млн. денежных единиц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кредитных организаций, заявки которых удовлетворены, шт.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</w:p>
        </w:tc>
      </w:tr>
    </w:tbl>
    <w:p>
      <w:pPr>
        <w:shd w:val="clear" w:fill="FFFFFF"/>
        <w:ind w:right="143"/>
        <w:jc w:val="both"/>
        <w:rPr>
          <w:color w:val="2F343D"/>
          <w:sz w:val="28"/>
          <w:szCs w:val="28"/>
          <w:lang w:val="en-US" w:bidi="en-US" w:eastAsia="en-US"/>
        </w:rPr>
      </w:pPr>
      <w:bookmarkStart w:id="0" w:name="_dx_frag_StartFragment"/>
      <w:bookmarkEnd w:id="0"/>
    </w:p>
    <w:p>
      <w:pPr>
        <w:shd w:val="clear" w:fill="FFFFFF"/>
        <w:ind w:right="143"/>
        <w:jc w:val="both"/>
        <w:rPr>
          <w:color w:val="2F343D"/>
          <w:sz w:val="28"/>
          <w:szCs w:val="28"/>
        </w:rPr>
      </w:pPr>
      <w:r>
        <w:rPr>
          <w:color w:val="2F343D"/>
          <w:sz w:val="28"/>
          <w:szCs w:val="28"/>
          <w:shd w:val="clear" w:color="auto" w:fill="FFFFFF"/>
          <w:lang w:val="en-US" w:bidi="en-US" w:eastAsia="en-US"/>
        </w:rPr>
        <w:t xml:space="preserve">* </w:t>
      </w:r>
      <w:r>
        <w:rPr>
          <w:color w:val="2F343D"/>
          <w:sz w:val="28"/>
          <w:szCs w:val="28"/>
          <w:shd w:val="clear" w:color="auto" w:fill="FFFFFF"/>
        </w:rPr>
        <w:t>для открытой формы проведения отбора заявок кредитных организаций на заключение договоров банковского депозита</w:t>
      </w:r>
      <w:r>
        <w:rPr>
          <w:color w:val="2F343D"/>
          <w:sz w:val="28"/>
          <w:szCs w:val="28"/>
          <w:shd w:val="clear" w:color="auto" w:fill="FFFFFF"/>
          <w:lang w:val="ru-RU" w:bidi="ru-RU" w:eastAsia="ru-RU"/>
        </w:rPr>
        <w:t>;</w:t>
      </w:r>
    </w:p>
    <w:p>
      <w:pPr>
        <w:shd w:val="clear" w:fill="FFFFFF"/>
        <w:ind w:right="143"/>
        <w:jc w:val="both"/>
        <w:rPr>
          <w:color w:val="2F343D"/>
          <w:sz w:val="28"/>
          <w:szCs w:val="28"/>
        </w:rPr>
      </w:pPr>
      <w:r>
        <w:rPr>
          <w:color w:val="2F343D"/>
          <w:sz w:val="28"/>
          <w:szCs w:val="28"/>
          <w:shd w:val="clear" w:color="auto" w:fill="FFFFFF"/>
        </w:rPr>
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  <w:r>
        <w:rPr>
          <w:color w:val="2F343D"/>
          <w:sz w:val="28"/>
          <w:szCs w:val="28"/>
          <w:shd w:val="clear" w:color="auto" w:fill="FFFFFF"/>
          <w:lang w:val="ru-RU" w:bidi="ru-RU" w:eastAsia="ru-RU"/>
        </w:rPr>
        <w:t>;</w:t>
      </w:r>
    </w:p>
    <w:p>
      <w:pPr>
        <w:shd w:val="clear" w:fill="FFFFFF"/>
        <w:ind w:right="143"/>
        <w:jc w:val="both"/>
        <w:rPr>
          <w:sz w:val="16"/>
          <w:szCs w:val="16"/>
          <w:lang w:val="en-US" w:bidi="ar-SA" w:eastAsia="ru-RU"/>
        </w:rPr>
      </w:pPr>
      <w:r>
        <w:rPr>
          <w:color w:val="2F343D"/>
          <w:sz w:val="28"/>
          <w:szCs w:val="28"/>
          <w:shd w:val="clear" w:color="auto" w:fill="FFFFFF"/>
        </w:rPr>
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</w:r>
      <w:r>
        <w:rPr>
          <w:color w:val="2F343D"/>
          <w:sz w:val="28"/>
          <w:szCs w:val="28"/>
          <w:shd w:val="clear" w:color="auto" w:fill="FFFFFF"/>
          <w:lang w:val="ru-RU" w:bidi="ru-RU" w:eastAsia="ru-RU"/>
        </w:rPr>
        <w:t>.</w:t>
      </w:r>
    </w:p>
    <w:p>
      <w:pPr>
        <w:shd w:val="clear" w:fill="FFFFFF"/>
        <w:ind w:right="143"/>
        <w:jc w:val="both"/>
        <w:rPr>
          <w:sz w:val="28"/>
          <w:szCs w:val="28"/>
        </w:rPr>
      </w:pPr>
    </w:p>
    <w:p>
      <w:pPr>
        <w:widowControl w:val="1"/>
        <w:ind w:firstLine="708" w:right="143"/>
        <w:jc w:val="both"/>
        <w:rPr>
          <w:color w:val="2F343D"/>
          <w:sz w:val="28"/>
          <w:szCs w:val="28"/>
        </w:rPr>
      </w:pPr>
      <w:r>
        <w:rPr>
          <w:color w:val="2F343D"/>
          <w:sz w:val="28"/>
          <w:szCs w:val="28"/>
          <w:shd w:val="clear" w:color="auto" w:fill="FFFFFF"/>
        </w:rPr>
        <w:t xml:space="preserve">RUONmDS = RUONIA - DS, </w:t>
      </w:r>
    </w:p>
    <w:p>
      <w:pPr>
        <w:widowControl w:val="1"/>
        <w:ind w:firstLine="708" w:right="143"/>
        <w:jc w:val="both"/>
        <w:rPr>
          <w:color w:val="2F343D"/>
          <w:sz w:val="28"/>
          <w:szCs w:val="28"/>
        </w:rPr>
      </w:pPr>
      <w:r>
        <w:rPr>
          <w:color w:val="2F343D"/>
          <w:sz w:val="28"/>
          <w:szCs w:val="28"/>
          <w:shd w:val="clear" w:color="auto" w:fill="FFFFFF"/>
        </w:rPr>
        <w:t>где 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</w:p>
    <w:p>
      <w:pPr>
        <w:widowControl w:val="1"/>
        <w:ind w:firstLine="708" w:right="143"/>
        <w:jc w:val="both"/>
        <w:rPr>
          <w:color w:val="2F343D"/>
          <w:sz w:val="28"/>
          <w:szCs w:val="28"/>
        </w:rPr>
      </w:pPr>
      <w:r>
        <w:rPr>
          <w:color w:val="2F343D"/>
          <w:sz w:val="28"/>
          <w:szCs w:val="28"/>
          <w:shd w:val="clear" w:color="auto" w:fill="FFFFFF"/>
        </w:rP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bookmarkStart w:id="1" w:name="_dx_frag_EndFragment"/>
      <w:bookmarkEnd w:id="1"/>
    </w:p>
    <w:p>
      <w:pPr>
        <w:widowControl w:val="1"/>
        <w:ind w:right="143"/>
        <w:jc w:val="both"/>
        <w:rPr>
          <w:sz w:val="16"/>
          <w:szCs w:val="16"/>
        </w:rPr>
      </w:pPr>
    </w:p>
    <w:sectPr>
      <w:type w:val="nextPage"/>
      <w:pgSz w:w="11906" w:h="16838" w:code="0"/>
      <w:pgMar w:left="1700" w:right="850" w:top="818" w:bottom="713" w:header="709" w:footer="709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oNotTrackMoves/>
  <w:defaultTabStop w:val="708"/>
  <w:autoHyphenation w:val="0"/>
  <w:evenAndOddHeaders w:val="0"/>
  <w:characterSpacingControl w:val="doNotCompress"/>
  <w:compat>
    <w:splitPgBreakAndParaMark/>
    <w:growAutofit/>
    <w:doNotVertAlignCellWithSp/>
    <w:useWord2002TableStyleRules/>
    <w:compatSetting w:name="compatibilityMode" w:uri="http://schemas.microsoft.com/office/word" w:val="12"/>
  </w:compat>
  <m:mathPr xmlns:m="http://schemas.openxmlformats.org/officeDocument/2006/math">
    <m:brkBin m:val="before"/>
    <m:brkBinSub m:val="--"/>
    <m:defJc m:val="centerGroup"/>
    <m:dispDef/>
    <m:interSp m:val="0"/>
    <m:intLim m:val="subSup"/>
    <m:intraSp m:val="0"/>
    <m:lMargin m:val="0"/>
    <m:mathFont m:val="Cambria Math"/>
    <m:naryLim m:val="undOvr"/>
    <m:postSp m:val="0"/>
    <m:preSp m:val="0"/>
    <m:rMargin m:val="0"/>
    <m:wrapIndent m:val="144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 w:eastAsia="Times New Roman"/>
        <w:sz w:val="20"/>
        <w:szCs w:val="20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next w:val="P0"/>
    <w:qFormat/>
    <w:pPr>
      <w:widowControl w:val="0"/>
    </w:pPr>
    <w:rPr>
      <w:sz w:val="24"/>
      <w:szCs w:val="24"/>
      <w:lang w:val="ru-RU" w:bidi="ar-SA" w:eastAsia="ru-RU"/>
    </w:rPr>
  </w:style>
  <w:style w:type="paragraph" w:styleId="P1">
    <w:name w:val="Body Text Indent"/>
    <w:basedOn w:val="P0"/>
    <w:next w:val="P1"/>
    <w:link w:val="C3"/>
    <w:pPr>
      <w:spacing w:after="120"/>
      <w:ind w:left="283"/>
    </w:pPr>
    <w:rPr>
      <w:sz w:val="20"/>
      <w:szCs w:val="20"/>
    </w:rPr>
  </w:style>
  <w:style w:type="paragraph" w:styleId="P2">
    <w:name w:val="ConsNonformat"/>
    <w:basedOn w:val="P0"/>
    <w:next w:val="P2"/>
    <w:pPr>
      <w:ind w:right="19772"/>
    </w:pPr>
    <w:rPr>
      <w:rFonts w:ascii="Courier New" w:hAnsi="Courier New" w:cs="Courier New"/>
      <w:sz w:val="20"/>
      <w:szCs w:val="20"/>
    </w:rPr>
  </w:style>
  <w:style w:type="paragraph" w:styleId="P3">
    <w:name w:val="ConsTitle"/>
    <w:basedOn w:val="P0"/>
    <w:next w:val="P3"/>
    <w:pPr>
      <w:ind w:right="19772"/>
    </w:pPr>
    <w:rPr>
      <w:rFonts w:ascii="Arial" w:hAnsi="Arial" w:cs="Arial"/>
      <w:b w:val="1"/>
      <w:bCs w:val="1"/>
      <w:sz w:val="20"/>
      <w:szCs w:val="20"/>
    </w:rPr>
  </w:style>
  <w:style w:type="paragraph" w:styleId="P4">
    <w:name w:val="Body Text"/>
    <w:basedOn w:val="P0"/>
    <w:next w:val="P4"/>
    <w:link w:val="C4"/>
    <w:pPr>
      <w:spacing w:after="12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sz w:val="24"/>
      <w:szCs w:val="24"/>
      <w:u w:val="single"/>
    </w:rPr>
  </w:style>
  <w:style w:type="character" w:styleId="C3">
    <w:name w:val="???????? ????? ? ???????? ????"/>
    <w:basedOn w:val="C0"/>
    <w:link w:val="P1"/>
    <w:rPr>
      <w:sz w:val="24"/>
      <w:szCs w:val="24"/>
    </w:rPr>
  </w:style>
  <w:style w:type="character" w:styleId="C4">
    <w:name w:val="???????? ????? ????"/>
    <w:basedOn w:val="C0"/>
    <w:link w:val="P4"/>
    <w:rPr>
      <w:sz w:val="24"/>
      <w:szCs w:val="24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pPr>
      <w:widowControl w:val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bottom w:w="0" w:type="dxa"/>
      </w:tblCellMar>
    </w:tblPr>
    <w:trPr/>
    <w:tcPr/>
  </w:style>
  <w:style w:type="table" w:styleId="T2">
    <w:name w:val="Table Grid"/>
    <w:basedOn w:val="T0"/>
    <w:pPr>
      <w:widowControl w:val="0"/>
    </w:pPr>
    <w:rPr>
      <w:lang w:val="ru-RU" w:bidi="ar-SA" w:eastAsia="ru-RU"/>
    </w:r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>
      <w:wBefore w:w="0" w:type="dxa"/>
    </w:trPr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Company>Administraciy</Company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User1</dc:creator>
  <dcterms:created xsi:type="dcterms:W3CDTF">2014-11-11T05:40:00Z</dcterms:created>
  <cp:lastModifiedBy>Львов Андрей Станиславович</cp:lastModifiedBy>
  <cp:lastPrinted>2012-05-18T13:38:00Z</cp:lastPrinted>
  <dcterms:modified xsi:type="dcterms:W3CDTF">2014-11-11T11:11:00Z</dcterms:modified>
  <cp:revision>20</cp:revision>
  <dc:title>ЯМАЛО-НЕНЕЦКИЙ АВТОНОМНЫЙ ОКРУГ</dc:title>
</cp:coreProperties>
</file>