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08.06.2026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12026031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940C05" w:rsidP="000804C7">
            <w:pPr>
              <w:ind w:firstLine="0"/>
              <w:jc w:val="center"/>
            </w:pPr>
            <w:r w:rsidRPr="00940C05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09.06.2026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940C05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940C05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940C05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940C05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940C05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940C05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940C05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17.00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940C05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940C05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940C05" w:rsidP="00DC79C2">
      <w:pPr>
        <w:rPr>
          <w:szCs w:val="28"/>
        </w:rPr>
      </w:pPr>
      <w:r>
        <w:rPr>
          <w:szCs w:val="28"/>
        </w:rPr>
        <w:t>Ставка RFRMIN1W - выраженное в сотых долях процентов значение минимальной ставки по заключаемым договорам репо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940C05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репо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940C05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05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40C05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6671C-8E46-4CE0-9246-E0787F79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2026-06-08T14:45:00Z</dcterms:created>
  <dcterms:modified xsi:type="dcterms:W3CDTF">2026-06-08T14:46:00Z</dcterms:modified>
</cp:coreProperties>
</file>