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27.05.2026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12026023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931B09" w:rsidP="000804C7">
            <w:pPr>
              <w:ind w:firstLine="0"/>
              <w:jc w:val="center"/>
            </w:pPr>
            <w:r w:rsidRPr="00931B09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4 499 000 000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28.05.2026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02.07.2026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931B09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10,00 Облигации федеральных займов;   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931B09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931B09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931B09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931B09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13.20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13.30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931B09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13.30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13.40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931B09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931B0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931B0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931B0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13.40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14.00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14.20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931B09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931B09" w:rsidP="0011411A">
      <w:pPr>
        <w:rPr>
          <w:szCs w:val="28"/>
        </w:rPr>
      </w:pPr>
      <w:bookmarkStart w:id="0" w:name="_GoBack"/>
      <w:bookmarkEnd w:id="0"/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DS3)  (ставка RUSFARCN1W, уменьшенная на величину дисконта 3), где:</w:t>
      </w:r>
    </w:p>
    <w:p w:rsidR="00DC79C2" w:rsidRPr="00DC79C2" w:rsidRDefault="00931B09" w:rsidP="00DC79C2">
      <w:pPr>
        <w:rPr>
          <w:szCs w:val="28"/>
        </w:rPr>
      </w:pPr>
      <w:r>
        <w:rPr>
          <w:szCs w:val="28"/>
        </w:rPr>
        <w:t xml:space="preserve">Ставка RFRMIN1W - выраженное в сотых долях процентов значение минимальной ставки по заключаемым договорам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931B09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опубликованное на официальном сайте ПАО </w:t>
      </w:r>
      <w:r>
        <w:rPr>
          <w:szCs w:val="28"/>
        </w:rPr>
        <w:lastRenderedPageBreak/>
        <w:t>«Московская биржа» в сети Интернет. В случае отсутствия публикации значения ставки RUSFARCN1W, за день, предшествующий дню, 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931B09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B09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1B09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E672F-AE6D-49BA-82ED-88E6D183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5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2026-05-27T11:01:00Z</dcterms:created>
  <dcterms:modified xsi:type="dcterms:W3CDTF">2026-05-27T11:06:00Z</dcterms:modified>
</cp:coreProperties>
</file>